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4" w:rsidRDefault="0076648E">
      <w:pPr>
        <w:pBdr>
          <w:top w:val="nil"/>
          <w:left w:val="nil"/>
          <w:bottom w:val="nil"/>
          <w:right w:val="nil"/>
          <w:between w:val="nil"/>
        </w:pBdr>
        <w:spacing w:after="120"/>
        <w:ind w:left="11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Znak sprawy: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                       Zał. nr 1 do SWZ</w:t>
      </w:r>
    </w:p>
    <w:p w:rsidR="003A0EA4" w:rsidRDefault="003A0EA4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3A0EA4" w:rsidRDefault="0076648E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OPIS TECHNICZNY</w:t>
      </w:r>
    </w:p>
    <w:p w:rsidR="003A0EA4" w:rsidRDefault="0076648E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DLA ŚREDNIEGO SAMOCHODU RATOWNICZO – GAŚNICZEGO Z NAPĘDEM 4X4    </w:t>
      </w:r>
    </w:p>
    <w:p w:rsidR="003A0EA4" w:rsidRDefault="003A0EA4">
      <w:pPr>
        <w:tabs>
          <w:tab w:val="left" w:pos="1872"/>
          <w:tab w:val="right" w:pos="8953"/>
        </w:tabs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146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0249"/>
        <w:gridCol w:w="1125"/>
        <w:gridCol w:w="2692"/>
      </w:tblGrid>
      <w:tr w:rsidR="003A0EA4">
        <w:trPr>
          <w:trHeight w:val="567"/>
        </w:trPr>
        <w:tc>
          <w:tcPr>
            <w:tcW w:w="546" w:type="dxa"/>
            <w:shd w:val="clear" w:color="auto" w:fill="F2F2F2"/>
            <w:vAlign w:val="center"/>
          </w:tcPr>
          <w:p w:rsidR="003A0EA4" w:rsidRDefault="0076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249" w:type="dxa"/>
            <w:shd w:val="clear" w:color="auto" w:fill="F2F2F2"/>
            <w:vAlign w:val="center"/>
          </w:tcPr>
          <w:p w:rsidR="003A0EA4" w:rsidRDefault="0076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PODSTAWOWE WYMAGANIA, JAKIE POWINIEN SPEŁNIAĆ OFEROWANY POJAZD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3A0EA4" w:rsidRDefault="0076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3A0EA4" w:rsidRDefault="0076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PROPOZYCJE WYKONAWCY</w:t>
            </w: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Podstawowe wymagania, jakie powinien spełniać oferowany samochód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Uwagi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Podwozie z kabiną</w:t>
            </w: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1.1.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Musi spełniać wymagania polskich przepisów o ruchu drogowym, z uwzględnieniem wymagań dotyczących pojazdów uprzywilejowanych, zgodnie z ustawą z dnia 20 czerwca 1997r.„Prawo o ruchu drogowym” (Dz.U. z 2020 r. poz. 110z późn. zm.), wraz z przepisami wykonawczymi.</w:t>
            </w:r>
          </w:p>
          <w:p w:rsidR="003A0EA4" w:rsidRDefault="0076648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      </w:r>
          </w:p>
          <w:p w:rsidR="003A0EA4" w:rsidRDefault="0076648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:rsidR="003A0EA4" w:rsidRDefault="0076648E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Musi posiadać aktualne świadectwo homologacji podwozia.</w:t>
            </w:r>
          </w:p>
          <w:p w:rsidR="003A0EA4" w:rsidRDefault="0076648E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Musi spełniać wymagania ogólne i szczegółowe zgodnie z normą PN-EN 1846-1 i 1846-2 </w:t>
            </w:r>
          </w:p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  <w:tab w:val="right" w:pos="1077"/>
                <w:tab w:val="left" w:pos="8577"/>
              </w:tabs>
              <w:ind w:left="360"/>
              <w:jc w:val="both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1.2.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Samochód musi spełniać wymagania dla klasy średniej M (wg PN-EN 1846-2)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1.3.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Samochód kategorii 2 - uterenowionej (wg PN-EN 1846-1)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397"/>
        </w:trPr>
        <w:tc>
          <w:tcPr>
            <w:tcW w:w="546" w:type="dxa"/>
            <w:shd w:val="clear" w:color="auto" w:fill="F2F2F2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10249" w:type="dxa"/>
            <w:shd w:val="clear" w:color="auto" w:fill="F2F2F2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Podwozie z kabiną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Uwagi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Podwozie z kabiną</w:t>
            </w: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Masa całkowita pojazdu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gotowego do akcji ratowniczo – gaśniczej nie może przekroczyć 16 000 kg</w:t>
            </w:r>
          </w:p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Rok produkcji pojazdu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nie starszy niż 1997r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76648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Podać wartość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2.2.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Pojazd gotowy do akcji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(pojazd z załogą, pełnymi zbiornikami, zabudową i wyposażeniem) powinien mieć:</w:t>
            </w:r>
          </w:p>
          <w:p w:rsidR="003A0EA4" w:rsidRDefault="0076648E">
            <w:pPr>
              <w:numPr>
                <w:ilvl w:val="0"/>
                <w:numId w:val="4"/>
              </w:num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Kąt natarcia: min. 23 º,</w:t>
            </w:r>
          </w:p>
          <w:p w:rsidR="003A0EA4" w:rsidRDefault="0076648E">
            <w:pPr>
              <w:numPr>
                <w:ilvl w:val="0"/>
                <w:numId w:val="4"/>
              </w:num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Kąt zejścia: min. 24º,</w:t>
            </w:r>
          </w:p>
          <w:p w:rsidR="003A0EA4" w:rsidRDefault="0076648E">
            <w:pPr>
              <w:numPr>
                <w:ilvl w:val="0"/>
                <w:numId w:val="4"/>
              </w:num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Prześwit pod osiami: min. 300 mm,</w:t>
            </w:r>
          </w:p>
          <w:p w:rsidR="003A0EA4" w:rsidRDefault="0076648E">
            <w:pPr>
              <w:numPr>
                <w:ilvl w:val="0"/>
                <w:numId w:val="4"/>
              </w:num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Wysokość całkowita pojazdu: max. 3350 mm </w:t>
            </w:r>
          </w:p>
          <w:p w:rsidR="003A0EA4" w:rsidRDefault="0076648E">
            <w:pPr>
              <w:numPr>
                <w:ilvl w:val="0"/>
                <w:numId w:val="4"/>
              </w:num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Długość całkowita: max 7300 mm </w:t>
            </w:r>
          </w:p>
          <w:p w:rsidR="003A0EA4" w:rsidRDefault="0076648E">
            <w:pPr>
              <w:numPr>
                <w:ilvl w:val="0"/>
                <w:numId w:val="4"/>
              </w:numPr>
              <w:tabs>
                <w:tab w:val="left" w:pos="873"/>
                <w:tab w:val="left" w:pos="6498"/>
                <w:tab w:val="left" w:pos="8514"/>
                <w:tab w:val="left" w:pos="14691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Kąt rampowy: min. 20 º</w:t>
            </w:r>
          </w:p>
          <w:p w:rsidR="003A0EA4" w:rsidRDefault="005E7279">
            <w:pPr>
              <w:numPr>
                <w:ilvl w:val="0"/>
                <w:numId w:val="4"/>
              </w:numPr>
              <w:tabs>
                <w:tab w:val="left" w:pos="873"/>
                <w:tab w:val="left" w:pos="6498"/>
                <w:tab w:val="left" w:pos="8514"/>
                <w:tab w:val="left" w:pos="14691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Rozstaw osi max</w:t>
            </w:r>
            <w:bookmarkStart w:id="0" w:name="_GoBack"/>
            <w:bookmarkEnd w:id="0"/>
            <w:r w:rsidR="0076648E">
              <w:rPr>
                <w:rFonts w:ascii="Arial Narrow" w:eastAsia="Arial Narrow" w:hAnsi="Arial Narrow" w:cs="Arial Narrow"/>
                <w:sz w:val="22"/>
                <w:szCs w:val="22"/>
              </w:rPr>
              <w:t>. 3700mm</w:t>
            </w:r>
          </w:p>
          <w:p w:rsidR="003A0EA4" w:rsidRDefault="003A0EA4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ind w:left="7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76648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Podać wartości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left="45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Rezerwa masy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pojazdu gotowego do akcji ratowniczo – gaśniczej (pojazd z załogą, pełnymi zbiornikami, zabudową i wyposażeniem) w stosunku do dopuszczalnejmasy całkowitej pojazdu określonej przez producenta (liczone do tzw. DMC technicznej) min.10%. Nie dopuszcza się mniejszej wartości z uwagi na działania pojazdu w trudnych warunkach terenowych.</w:t>
            </w:r>
          </w:p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76648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Podać wartość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2.4.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Układ napędowy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pojazdu składa się z:</w:t>
            </w:r>
          </w:p>
          <w:p w:rsidR="003A0EA4" w:rsidRDefault="0076648E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napędu na wszystkie osie, </w:t>
            </w:r>
          </w:p>
          <w:p w:rsidR="003A0EA4" w:rsidRDefault="0076648E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skrzyni redukcyjnej,</w:t>
            </w:r>
          </w:p>
          <w:p w:rsidR="003A0EA4" w:rsidRDefault="0076648E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możliwość blokady mechanizmu  tylnej osi,</w:t>
            </w:r>
          </w:p>
          <w:p w:rsidR="003A0EA4" w:rsidRDefault="0076648E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zwolnice w piastach,</w:t>
            </w:r>
          </w:p>
          <w:p w:rsidR="003A0EA4" w:rsidRDefault="0076648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skrzynka rozdzielcza z dodatkowym przełożeniem terenowym i biegiem neutralnym</w:t>
            </w:r>
          </w:p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Koła i ogumienie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 koła pojedyncze na przedniej osi, na tylnej bliźniacze o nośności dostosowanej do nacisku koła oraz do max. prędkośc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 pojazdu, z bieżnikiem szosowo - terenowym, na przedniej osi szerokości minimum 315, tylnej 315 mm.</w:t>
            </w:r>
          </w:p>
          <w:p w:rsidR="003A0EA4" w:rsidRDefault="003A0E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2.6.</w:t>
            </w:r>
          </w:p>
        </w:tc>
        <w:tc>
          <w:tcPr>
            <w:tcW w:w="10249" w:type="dxa"/>
            <w:shd w:val="clear" w:color="auto" w:fill="FFFFFF"/>
          </w:tcPr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Silnik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 zapłonie samoczynnym przystosowanym do ciągłej pracy</w:t>
            </w:r>
          </w:p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Minimalna moc silnika: 176 kW.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Minimalny moment obrotowy 500 Nm.</w:t>
            </w:r>
          </w:p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Silnik spełniający normy czystości spalin EURO 2.</w:t>
            </w:r>
          </w:p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Skrzynia biegów 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manualna min. Sześciobiegowa.</w:t>
            </w:r>
          </w:p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Ponadto pojazd wyposażony w </w:t>
            </w:r>
          </w:p>
          <w:p w:rsidR="003A0EA4" w:rsidRDefault="0076648E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hamulce bębnowe na wszystkich osiach.</w:t>
            </w:r>
          </w:p>
          <w:p w:rsidR="003A0EA4" w:rsidRDefault="0076648E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system ABS,</w:t>
            </w:r>
          </w:p>
          <w:p w:rsidR="003A0EA4" w:rsidRDefault="003A0EA4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76648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Podać wartość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2.7.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Kabina czterodrzwiowa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jednomodułowa, z szkieletem z blachy cynkowanej zapewniająca dostęp do silnika z systemem zabezpieczającym przed jej przypadkowym odchyleniem w czasie jazdy, o układzie miejsc 1 + 1 + 2 + 2 . Podłoga kabiny musi mieć powierzchnię 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antypoślizgową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 Wyklucza się możliwość zastosowania kabiny załogowej osiągniętej poprzez skręcenie/sklejenie kabiny dziennej z modułem kabiny brygadowej.</w:t>
            </w:r>
          </w:p>
          <w:p w:rsidR="003A0EA4" w:rsidRDefault="003A0E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3A0EA4" w:rsidRDefault="0076648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Kabina wyposażona minimum w:</w:t>
            </w:r>
          </w:p>
          <w:p w:rsidR="003A0EA4" w:rsidRDefault="0076648E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indywidualne oświetlenie do czytania mapy dla pozycji dowódcy,</w:t>
            </w:r>
          </w:p>
          <w:p w:rsidR="003A0EA4" w:rsidRDefault="0076648E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uchwyty do trzymania dla załogi w tylnej części kabiny,</w:t>
            </w:r>
          </w:p>
          <w:p w:rsidR="003A0EA4" w:rsidRDefault="007664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lusterka boczne ( prawe elektrycznie sterowane),</w:t>
            </w:r>
          </w:p>
          <w:p w:rsidR="003A0EA4" w:rsidRDefault="0076648E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mocowanie 2 szt. aparatów ochrony dróg oddechowych (ODO) </w:t>
            </w:r>
          </w:p>
          <w:p w:rsidR="003A0EA4" w:rsidRDefault="0076648E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siedzenia pokryte materiałem łatwym w utrzymaniu czystości,</w:t>
            </w:r>
          </w:p>
          <w:p w:rsidR="003A0EA4" w:rsidRDefault="007664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kabina zgodna z normą ECE R29</w:t>
            </w:r>
          </w:p>
          <w:p w:rsidR="003A0EA4" w:rsidRDefault="007664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przygotowana instalacja pod radiotelefon przewoźny</w:t>
            </w:r>
          </w:p>
          <w:p w:rsidR="003A0EA4" w:rsidRDefault="007664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wewnątrz kabiny nocne podświetlenie</w:t>
            </w:r>
          </w:p>
          <w:p w:rsidR="003A0EA4" w:rsidRDefault="007664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ogrzewanie kabiny webasto</w:t>
            </w:r>
          </w:p>
          <w:p w:rsidR="003A0EA4" w:rsidRDefault="007664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zderzak przedni stalowy o wytrzymałości min. 80 kN na narożach i 160 kN na wysokości podłużnic</w:t>
            </w:r>
          </w:p>
          <w:p w:rsidR="003A0EA4" w:rsidRDefault="003A0E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Kolorystyka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:rsidR="003A0EA4" w:rsidRDefault="0076648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podwozie – czarne lub grafitowe, </w:t>
            </w:r>
          </w:p>
          <w:p w:rsidR="003A0EA4" w:rsidRDefault="0076648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błotniki i zderzaki – białe,</w:t>
            </w:r>
          </w:p>
          <w:p w:rsidR="003A0EA4" w:rsidRDefault="0076648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kabina, zabudowa – czerwone RAL3000</w:t>
            </w:r>
          </w:p>
          <w:p w:rsidR="003A0EA4" w:rsidRDefault="0076648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drzwi żaluzjowe w kolorze naturalnego aluminium,</w:t>
            </w:r>
          </w:p>
          <w:p w:rsidR="003A0EA4" w:rsidRDefault="0076648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boczne ścianę zabudowy posiadają taśmy odblaskowe zwiększające widoczność pojazdu (poziome i pionowe). </w:t>
            </w:r>
          </w:p>
          <w:p w:rsidR="003A0EA4" w:rsidRDefault="0076648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spód zabudowy zabezpieczony dodatkowo lakierem do podwozi- czarny</w:t>
            </w:r>
          </w:p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Wszelkie funkcje wszystkich układów i urządzeń pojazdu muszą zachować swoje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właściwości pracy w temperaturach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otoczenia: od - 20ºC  do + 40º C.</w:t>
            </w:r>
          </w:p>
          <w:p w:rsidR="003A0EA4" w:rsidRDefault="003A0EA4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2.10.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Wylot spalin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nie może być skierowany na stanowisko obsługi poszczególnych urządzeń pojazdu oraz powinien być umieszczony za kabiną pojazdu i skierowany w lewo.</w:t>
            </w:r>
          </w:p>
          <w:p w:rsidR="003A0EA4" w:rsidRDefault="003A0EA4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2.11.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Pojemność zbiornika paliwa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min. 100 litrów powinna zapewniać - przejazd min 300 km lub 4 godz. pracę autopompy. </w:t>
            </w:r>
          </w:p>
          <w:p w:rsidR="003A0EA4" w:rsidRDefault="003A0EA4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6513"/>
                <w:tab w:val="left" w:pos="10395"/>
                <w:tab w:val="left" w:pos="14730"/>
              </w:tabs>
              <w:ind w:left="161" w:hanging="16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2.12.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Pojazd wyposażony w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zaczep holowniczy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paszczowy posiadający homologację lub znak bezpieczeństwa do holowania przyczepy o masie całkowitej minimum 3,5 t z gniazdem elektrycznym i pneumatycznym do podłączenia zasilania przyczepy.</w:t>
            </w:r>
          </w:p>
          <w:p w:rsidR="003A0EA4" w:rsidRDefault="003A0EA4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2.13.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Pojazd wyposażony w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standardowe wyposażenie podwozia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(klucze do kół, trójkąt itp.) w tym dwa kliny pod koła.</w:t>
            </w:r>
          </w:p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2.14.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76648E">
            <w:pPr>
              <w:shd w:val="clear" w:color="auto" w:fill="FFFFFF"/>
              <w:ind w:left="19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Zaczepy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do mocowania lin do wyciągania samochodu z przodu i z tyłu, dostosowane do masy własnej pojazdu.</w:t>
            </w:r>
          </w:p>
          <w:p w:rsidR="003A0EA4" w:rsidRDefault="003A0EA4">
            <w:pPr>
              <w:shd w:val="clear" w:color="auto" w:fill="FFFFFF"/>
              <w:ind w:left="19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2.15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76648E">
            <w:pPr>
              <w:shd w:val="clear" w:color="auto" w:fill="FFFFFF"/>
              <w:ind w:left="19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Przystawka odbioru mocy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przystosowana do długiej pracy, z sygnalizacją włączenia w kabinie kierowcy. Możliwość Załączania/Wyłączania przystawki z poziomu przedziału autopompy na panelu sterowniczym.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A0EA4">
        <w:trPr>
          <w:trHeight w:val="397"/>
        </w:trPr>
        <w:tc>
          <w:tcPr>
            <w:tcW w:w="546" w:type="dxa"/>
            <w:shd w:val="clear" w:color="auto" w:fill="F2F2F2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0249" w:type="dxa"/>
            <w:shd w:val="clear" w:color="auto" w:fill="F2F2F2"/>
            <w:vAlign w:val="center"/>
          </w:tcPr>
          <w:p w:rsidR="003A0EA4" w:rsidRDefault="0076648E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Instalacja elektryczna oraz ostrzegawcza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2F2F2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3.1.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Instalacja elektryczna oraz ostrzegawcza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pojazdu składa się z </w:t>
            </w:r>
          </w:p>
          <w:p w:rsidR="003A0EA4" w:rsidRDefault="0076648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Oświetlenia ostrzegawczego </w:t>
            </w:r>
          </w:p>
          <w:p w:rsidR="003A0EA4" w:rsidRDefault="0076648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Sygnalizacji dźwiękowej</w:t>
            </w:r>
          </w:p>
          <w:p w:rsidR="003A0EA4" w:rsidRDefault="0076648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Akumulatorów oraz dwóch alternatorów do ich ładowania podczas jazdy</w:t>
            </w:r>
          </w:p>
          <w:p w:rsidR="003A0EA4" w:rsidRDefault="0076648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Instalacji przeznaczonej do ładowania wyposażenia dodatkowego (wewnątrz kabiny)</w:t>
            </w:r>
          </w:p>
          <w:p w:rsidR="003A0EA4" w:rsidRDefault="0076648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Oświetlenia zewnętrznego</w:t>
            </w:r>
          </w:p>
          <w:p w:rsidR="003A0EA4" w:rsidRDefault="0076648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Oświetlenia wewnętrznego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Urządzenia sygnalizacyjno-ostrzegawcze świetlne i dźwiękowe pojazdu uprzywilejowanego:</w:t>
            </w:r>
          </w:p>
          <w:p w:rsidR="003A0EA4" w:rsidRDefault="003A0EA4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3A0EA4" w:rsidRDefault="0076648E">
            <w:pPr>
              <w:numPr>
                <w:ilvl w:val="0"/>
                <w:numId w:val="10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Dwie lampy sygnalizacyjne niebieskie zamontowana na dachu kabiny kierowcy</w:t>
            </w:r>
          </w:p>
          <w:p w:rsidR="003A0EA4" w:rsidRDefault="0076648E">
            <w:pPr>
              <w:numPr>
                <w:ilvl w:val="0"/>
                <w:numId w:val="10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lampa sygnalizacyjna niebieska zamontowana w tylnej części zabudowy z możliwością wyłączenia z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  <w:t>kabiny kierowcy z poziomu modulatora w przypadku jazdy w kolumnie posiadająca funkcje oświetlenia pola pracy, dodatkowe oświetlenie uprzywilejowane sprzężone z oświetleniem obrysowym</w:t>
            </w:r>
          </w:p>
          <w:p w:rsidR="003A0EA4" w:rsidRDefault="0076648E">
            <w:pPr>
              <w:numPr>
                <w:ilvl w:val="0"/>
                <w:numId w:val="10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urządzenie dźwiękowe (min. 6 modulowanych tonów)  wyposażone w funkcję megafonu oraz tryb nocny.</w:t>
            </w:r>
          </w:p>
          <w:p w:rsidR="003A0EA4" w:rsidRDefault="0076648E">
            <w:pPr>
              <w:numPr>
                <w:ilvl w:val="0"/>
                <w:numId w:val="10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wzmacniacz o mocy min. 100W wraz z głośnikiem o mocy 100W. Miejsce zamocowania sterownika i mikrofonu w kabinie zapewniające łatwy dostęp dla kierowcy oraz dowódcy.</w:t>
            </w:r>
          </w:p>
          <w:p w:rsidR="003A0EA4" w:rsidRDefault="0076648E">
            <w:pPr>
              <w:numPr>
                <w:ilvl w:val="0"/>
                <w:numId w:val="10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sygnalizacja świetlna i dźwiękowa włączonego biegu 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wstecznego, z możliwością ręcznego odłączenia sygnału dźwiękowego.</w:t>
            </w:r>
          </w:p>
          <w:p w:rsidR="003A0EA4" w:rsidRDefault="003A0EA4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3.3.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ind w:lef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Instalacja elektryczna 24 V wyposażona w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główny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highlight w:val="white"/>
              </w:rPr>
              <w:t>wyłącznik prądu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 xml:space="preserve"> zlokalizowany w kabinie dostępny z poziomu kierowcy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. Moc alternatora i pojemność akumulatorów min 180 Ah musi zapewnić pełne zapotrzebowanie na energię elektryczną przy jej maksymalnym obciążeniu. Skrzynia akumulatorowa umiejscowiona po lewej stronie zabudowy pod kabina, na prowadnicach umożliwiających bezproblemowy i szybki dostęp do akumulatorów.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3.6.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Oświetlenie zewnętrzne 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Pojazd powinien posiadać oświetlenie typu LED pola pracy wokół samochodu zapewniające oświetlenie w warunkach słabej widoczności min. 15 luksów w odległości 1 m od pojazdu. Zastosowane lampy muszą być w standardzie IP67 oraz zamocowane nad każdą skrytką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3.7.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auto"/>
          </w:tcPr>
          <w:p w:rsidR="003A0EA4" w:rsidRDefault="0076648E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Oświetlenie wewnętrzne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 Skrytki na sprzęt, przedział autopompy muszą być wyposażone w oświetlenie wewnętrzne. Główny wyłącznik oświetlenia skrytek powinien być zainstalowany w kabinie kierowcy.</w:t>
            </w:r>
          </w:p>
          <w:p w:rsidR="003A0EA4" w:rsidRDefault="003A0EA4">
            <w:pPr>
              <w:tabs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F2F2F2"/>
            <w:vAlign w:val="center"/>
          </w:tcPr>
          <w:p w:rsidR="003A0EA4" w:rsidRDefault="0076648E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10249" w:type="dxa"/>
            <w:shd w:val="clear" w:color="auto" w:fill="F2F2F2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Zabudowa pożarnicza: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</w:tcPr>
          <w:p w:rsidR="003A0EA4" w:rsidRDefault="003A0EA4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4.1.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Rama pośrednia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spawana, zabezpieczona antykorozyjnie.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2F2F2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Uwagi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3A0EA4" w:rsidRDefault="0076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Zabudowa pożarnicza:</w:t>
            </w:r>
          </w:p>
        </w:tc>
      </w:tr>
      <w:tr w:rsidR="003A0EA4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4.2.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Zabudowa samonośna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wykonana w technologii spawanej. .Wewnętrza część zabudowy wykończona blachą aluminiową, wewnętrznie anodowaną, a zewnętrznie lakierowaną. Zabudowa powinna być zamontowana na ramie pośredniej, wyposażonej w amortyzujące elementy metalowo-gumowe. 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42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4.3.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Dach zabudowy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 formie podestu roboczego w wykonaniu antypoślizgowym z blachy ryflowanej, dodatkowo na dachu pojazdu dwie długie skrzynie wykonane z materiałów odpornych na korozję, szczelnie zamykana (do przewożenia m. in. łopat, wideł). Konstrukcja dachu zabudowy z wyznaczonymi ścieżkami komunikacyjnymi.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42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4.4.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Aluminiowa drabina wejścia na dach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umieszczona na tylnej ścianie zabudowy po lewej stronie. Stopnie w wykonaniu antypoślizgowym. Górna część drabinki wyposażona w uchwyty ułatwiająca wchodzenie oraz pełen stopień.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Podesty robocze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wzdłuż zabudowy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, muszą być wytrzymałe na obciążenie min. 280kg (pod przednimi skrytkami), oraz min. 180 kg(pod tylnymi),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wykonane z powierzchnią antypoślizgową w formie blachy ryflowanej.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Podesty robocze o głębokości użytkowej min 430 mm zabezpieczone przed otwarciem za pomocą żaluzji. 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4.6.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Boczne skrytki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 układzie 2+2 zamykane żaluzjami bryzo- i pyłoszczelnymi wspomaganymi systemem sprężynowym wykonane z materiałów odpornych na korozję. Zamknięcia żaluzji typu rurkowego (bar-lock), wyposażone w taśmy ułatwiające zamykanie. 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4.7.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Aranżacja skrytek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powinna być wykonana w sposób ergonomiczny umożliwiający jego późniejszą modyfikację przez użytkownika końcowego. Zastosowane półki sprzętowe wykonane z aluminium, z możliwością regulacji wysokości półek. 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4.8.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Przedział sprzętowy za kabiną pojazdu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dostępny od strony kierowcy z miejscem na deskę ortopedyczną. 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4.10.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Elementy wystające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 pozycji otwartej powyżej 250 mm poza obrys pojazdu muszą posiadać oznakowanie ostrzegawcze.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4.11.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F2F2F2"/>
          </w:tcPr>
          <w:p w:rsidR="003A0EA4" w:rsidRDefault="0076648E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Układ wodno-pianowy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4.12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Pojazd wyposażony w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układ wodno-pianowy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składający się z:</w:t>
            </w:r>
          </w:p>
          <w:p w:rsidR="003A0EA4" w:rsidRDefault="0076648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Zbiornik środków gaśniczych</w:t>
            </w:r>
          </w:p>
          <w:p w:rsidR="003A0EA4" w:rsidRDefault="0076648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Autopompy</w:t>
            </w:r>
          </w:p>
          <w:p w:rsidR="003A0EA4" w:rsidRDefault="0076648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Zwijadło szybkiego natarcia</w:t>
            </w:r>
          </w:p>
          <w:p w:rsidR="003A0EA4" w:rsidRDefault="003A0EA4">
            <w:pPr>
              <w:shd w:val="clear" w:color="auto" w:fill="FFFFFF"/>
              <w:ind w:left="7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4.13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Zbiornik wody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wykonany z materiału kompozytowego lub polipropylenu blokowego, usytuowany wzdłuż zabudowy, wyposażony w oprzyrządowanie umożliwiające jego bezpieczną eksploatację, z układem zabezpieczającym przed wypływem wody w czasie jazdy. Zbiornik powinien:</w:t>
            </w:r>
          </w:p>
          <w:p w:rsidR="003A0EA4" w:rsidRDefault="0076648E">
            <w:pPr>
              <w:numPr>
                <w:ilvl w:val="0"/>
                <w:numId w:val="13"/>
              </w:numPr>
              <w:shd w:val="clear" w:color="auto" w:fill="FFFFFF"/>
              <w:ind w:right="730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posiadać właz rewizyjny,</w:t>
            </w:r>
          </w:p>
          <w:p w:rsidR="003A0EA4" w:rsidRDefault="0076648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pojemność min.2400 l (+/- 2%),</w:t>
            </w:r>
          </w:p>
          <w:p w:rsidR="003A0EA4" w:rsidRDefault="0076648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spełniać nadciśnienie testowe 20 kPa,</w:t>
            </w:r>
          </w:p>
          <w:p w:rsidR="003A0EA4" w:rsidRDefault="0076648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posiadać nasadę (DN75), znajdującą się pod zbiornikiem, umożliwiającą czyszczenie zbiornika,</w:t>
            </w:r>
          </w:p>
          <w:p w:rsidR="003A0EA4" w:rsidRDefault="0076648E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konstrukcja zbiornika nie może wychodzić powyżej powierzchni roboczej dachu</w:t>
            </w:r>
          </w:p>
          <w:p w:rsidR="003A0EA4" w:rsidRDefault="0076648E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umieszczony być w ramie pośredniej zabudowy,</w:t>
            </w:r>
          </w:p>
          <w:p w:rsidR="003A0EA4" w:rsidRDefault="0076648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posiadać nasadę 2xDN75 z zaworem do napełniania zbiornika z hydrantuz zaworem kulowym. 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EA4" w:rsidRDefault="003A0EA4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A0EA4" w:rsidRDefault="0076648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ind w:left="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Autopompa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zlokalizowana z tyłu pojazdu o wydajności:</w:t>
            </w:r>
          </w:p>
          <w:p w:rsidR="003A0EA4" w:rsidRDefault="0076648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min.1600 l/min przy ciśnieniu 0,8 MPa ( +/- 1% ). </w:t>
            </w:r>
          </w:p>
          <w:p w:rsidR="003A0EA4" w:rsidRDefault="003A0EA4">
            <w:pPr>
              <w:shd w:val="clear" w:color="auto" w:fill="FFFFFF"/>
              <w:ind w:left="29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5.1.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ind w:left="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Autopompa musi umożliwiać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podanie wody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 min.:</w:t>
            </w:r>
          </w:p>
          <w:p w:rsidR="003A0EA4" w:rsidRDefault="003A0EA4">
            <w:pPr>
              <w:shd w:val="clear" w:color="auto" w:fill="FFFFFF"/>
              <w:ind w:left="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3A0EA4" w:rsidRDefault="0076648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trzech nasad tłocznych skierowanych po jednej na każdą stronę, jedna z tyłu pojazdu (nasady tłoczne po obu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stronach pojazdu zamontowane na zewnętrz zabudowy),</w:t>
            </w:r>
          </w:p>
          <w:p w:rsidR="003A0EA4" w:rsidRDefault="0076648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wysokociśnieniowej linii szybkiego natarcia,</w:t>
            </w:r>
          </w:p>
          <w:p w:rsidR="003A0EA4" w:rsidRDefault="0076648E">
            <w:pPr>
              <w:shd w:val="clear" w:color="auto" w:fill="FFFFFF"/>
              <w:ind w:left="7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 wlotach ssawnych i do napełniania zbiornika muszą być zamontowane elementy zabezpieczające przed przedostaniem się do układu wodno-pianowego zanieczyszczeń stałych. Nasady tłoczne wyposażone w system zrzutu ciśnienia / odwodnienia ich bez konieczność ściągania pokrywy nasady. 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Wszystkie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elementy układu wodno-pianowego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144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5.4.</w:t>
            </w:r>
          </w:p>
        </w:tc>
        <w:tc>
          <w:tcPr>
            <w:tcW w:w="10249" w:type="dxa"/>
            <w:shd w:val="clear" w:color="auto" w:fill="auto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Samochód musi być wyposażony w co najmniej jedną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wysokociśnieniową linię szybkiego natarcia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 długości węża min. 30 m na zwijadle, zakończoną prądownicą wodno-pianową o regulowanej wydajności z prądem zwartym i rozproszonym. Zwijadło linii wysokociśnieniowej powinno być poprzedzone zaworem odcinającym wodę. Zwijadło wyposażone w zwijadło ręczne. 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288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5.5.</w:t>
            </w:r>
          </w:p>
        </w:tc>
        <w:tc>
          <w:tcPr>
            <w:tcW w:w="10249" w:type="dxa"/>
            <w:shd w:val="clear" w:color="auto" w:fill="auto"/>
            <w:vAlign w:val="center"/>
          </w:tcPr>
          <w:p w:rsidR="003A0EA4" w:rsidRDefault="0076648E">
            <w:pPr>
              <w:shd w:val="clear" w:color="auto" w:fill="FFFFFF"/>
              <w:ind w:left="14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 przedziale autopompy muszą znajdować się co najmniej następujące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urządzenia kontrolno-sterownicze pracy pompy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:rsidR="003A0EA4" w:rsidRDefault="003A0EA4">
            <w:pPr>
              <w:shd w:val="clear" w:color="auto" w:fill="FFFFFF"/>
              <w:ind w:left="14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3A0EA4" w:rsidRDefault="0076648E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panel sterujący autopompy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 xml:space="preserve"> </w:t>
            </w:r>
          </w:p>
          <w:p w:rsidR="003A0EA4" w:rsidRDefault="003A0EA4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wskaźnik poziomu wody, 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miernik prędkości obrotowej autopompy,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wskaźnik ciśnienia tłoczenia,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otwarcie zaworu głównego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 wyłączenie STOP silnika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ZAŁĄCZ / WYŁĄCZ przystawkę ( bez konieczności jej załączania z poziomu kabiny )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obroty minimalne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regulacja obrotów autopompy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sterowanie automatyką ciśnienia tłoczenia</w:t>
            </w:r>
          </w:p>
          <w:p w:rsidR="003A0EA4" w:rsidRDefault="0076648E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sterowanie oświetleniem pola pracy</w:t>
            </w:r>
          </w:p>
          <w:p w:rsidR="003A0EA4" w:rsidRDefault="003A0EA4">
            <w:pPr>
              <w:shd w:val="clear" w:color="auto" w:fill="FFFFFF"/>
              <w:ind w:left="36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3A0EA4" w:rsidRDefault="0076648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manowakuometr,</w:t>
            </w:r>
          </w:p>
          <w:p w:rsidR="003A0EA4" w:rsidRDefault="0076648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manometr niskiego ciśnienia,</w:t>
            </w:r>
          </w:p>
          <w:p w:rsidR="003A0EA4" w:rsidRDefault="0076648E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manometr wysokiego ciśnienia,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3A0EA4" w:rsidRDefault="0076648E">
            <w:pPr>
              <w:shd w:val="clear" w:color="auto" w:fill="FFFFFF"/>
              <w:ind w:left="19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  <w:p w:rsidR="003A0EA4" w:rsidRDefault="003A0EA4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3A0EA4" w:rsidRDefault="0076648E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5.7.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Wysuwany  RĘCZNIE, obrotowy maszt oświetleniowy zabudowany na stałe w samochodzie z najaśnicami halogenowymi lub LED. Wysokość min. 5,5 m od podłoża z możliwością sterowania najaśnicami w dwóch płaszczyznach.</w:t>
            </w:r>
          </w:p>
          <w:p w:rsidR="003A0EA4" w:rsidRDefault="003A0EA4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5.8.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Agregat prądotwórczy prądu stałego min 5,5 kW zasilany silnikiem spalinowym 4-suwowym o mocy min. 10KM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5.9.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Łańcuchy podrzutowe na tylniej osi załączane pneumatycznie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5.10.</w:t>
            </w:r>
          </w:p>
        </w:tc>
        <w:tc>
          <w:tcPr>
            <w:tcW w:w="10249" w:type="dxa"/>
            <w:shd w:val="clear" w:color="auto" w:fill="FFFFFF"/>
            <w:vAlign w:val="center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Przetwornica prądu DC/AC 230V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5.11.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76648E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Halogeny dalekosiężne umiejscowione z przodu kabiny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76648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5.12.</w:t>
            </w: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0EA4">
        <w:trPr>
          <w:trHeight w:val="475"/>
        </w:trPr>
        <w:tc>
          <w:tcPr>
            <w:tcW w:w="546" w:type="dxa"/>
            <w:shd w:val="clear" w:color="auto" w:fill="auto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2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0EA4" w:rsidRDefault="003A0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3A0EA4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A0EA4" w:rsidRDefault="0076648E">
      <w:pPr>
        <w:ind w:firstLine="708"/>
        <w:jc w:val="both"/>
        <w:rPr>
          <w:rFonts w:ascii="Calibri" w:eastAsia="Calibri" w:hAnsi="Calibri" w:cs="Calibri"/>
          <w:i/>
          <w:sz w:val="15"/>
          <w:szCs w:val="15"/>
        </w:rPr>
      </w:pPr>
      <w:r>
        <w:rPr>
          <w:rFonts w:ascii="Calibri" w:eastAsia="Calibri" w:hAnsi="Calibri" w:cs="Calibri"/>
          <w:i/>
          <w:sz w:val="15"/>
          <w:szCs w:val="15"/>
        </w:rPr>
        <w:t xml:space="preserve"> (miejscowość)</w:t>
      </w:r>
    </w:p>
    <w:p w:rsidR="003A0EA4" w:rsidRDefault="0076648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………………………………………………..…………</w:t>
      </w:r>
    </w:p>
    <w:p w:rsidR="003A0EA4" w:rsidRDefault="0076648E">
      <w:pPr>
        <w:pBdr>
          <w:top w:val="nil"/>
          <w:left w:val="nil"/>
          <w:bottom w:val="nil"/>
          <w:right w:val="nil"/>
          <w:between w:val="nil"/>
        </w:pBdr>
        <w:tabs>
          <w:tab w:val="left" w:pos="13325"/>
        </w:tabs>
        <w:ind w:left="9214" w:right="532"/>
        <w:rPr>
          <w:rFonts w:ascii="Calibri" w:eastAsia="Calibri" w:hAnsi="Calibri" w:cs="Calibri"/>
          <w:i/>
          <w:color w:val="000000"/>
          <w:sz w:val="15"/>
          <w:szCs w:val="15"/>
        </w:rPr>
      </w:pPr>
      <w:r>
        <w:rPr>
          <w:rFonts w:ascii="Calibri" w:eastAsia="Calibri" w:hAnsi="Calibri" w:cs="Calibri"/>
          <w:i/>
          <w:color w:val="000000"/>
          <w:sz w:val="15"/>
          <w:szCs w:val="15"/>
        </w:rPr>
        <w:t>Formularz należy podpisać kwalifikowanym podpisem elektronicznym, podpisem zaufanym lub podpisem osobistym osoby uprawnionej do zaciągania zobowiązań w imieniu Wykonawcy.</w:t>
      </w:r>
    </w:p>
    <w:p w:rsidR="003A0EA4" w:rsidRDefault="003A0EA4">
      <w:pPr>
        <w:pBdr>
          <w:top w:val="nil"/>
          <w:left w:val="nil"/>
          <w:bottom w:val="nil"/>
          <w:right w:val="nil"/>
          <w:between w:val="nil"/>
        </w:pBdr>
        <w:tabs>
          <w:tab w:val="left" w:pos="13325"/>
        </w:tabs>
        <w:ind w:left="9214" w:right="532"/>
        <w:rPr>
          <w:rFonts w:ascii="Calibri" w:eastAsia="Calibri" w:hAnsi="Calibri" w:cs="Calibri"/>
          <w:i/>
          <w:color w:val="000000"/>
          <w:sz w:val="15"/>
          <w:szCs w:val="15"/>
        </w:rPr>
      </w:pPr>
    </w:p>
    <w:p w:rsidR="003A0EA4" w:rsidRDefault="003A0EA4">
      <w:pPr>
        <w:rPr>
          <w:sz w:val="22"/>
          <w:szCs w:val="22"/>
        </w:rPr>
      </w:pPr>
    </w:p>
    <w:sectPr w:rsidR="003A0EA4">
      <w:headerReference w:type="default" r:id="rId8"/>
      <w:footerReference w:type="even" r:id="rId9"/>
      <w:footerReference w:type="default" r:id="rId10"/>
      <w:pgSz w:w="16834" w:h="11907" w:orient="landscape"/>
      <w:pgMar w:top="709" w:right="2410" w:bottom="426" w:left="1134" w:header="709" w:footer="3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C0" w:rsidRDefault="0076648E">
      <w:r>
        <w:separator/>
      </w:r>
    </w:p>
  </w:endnote>
  <w:endnote w:type="continuationSeparator" w:id="0">
    <w:p w:rsidR="003111C0" w:rsidRDefault="0076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4" w:rsidRDefault="0076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3A0EA4" w:rsidRDefault="003A0E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4" w:rsidRDefault="0076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Strona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5E7279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z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5E7279">
      <w:rPr>
        <w:rFonts w:ascii="Calibri" w:eastAsia="Calibri" w:hAnsi="Calibri" w:cs="Calibri"/>
        <w:b/>
        <w:noProof/>
        <w:color w:val="000000"/>
        <w:sz w:val="16"/>
        <w:szCs w:val="16"/>
      </w:rPr>
      <w:t>7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:rsidR="003A0EA4" w:rsidRDefault="003A0E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C0" w:rsidRDefault="0076648E">
      <w:r>
        <w:separator/>
      </w:r>
    </w:p>
  </w:footnote>
  <w:footnote w:type="continuationSeparator" w:id="0">
    <w:p w:rsidR="003111C0" w:rsidRDefault="0076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4" w:rsidRDefault="0076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2"/>
      <w:jc w:val="center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Postępowanie o udzielenie zamówienia klasycznego prowadzonego w trybie podstawowym bez przeprowadzenia negocjacji o wartości mniejszej niż progi unijne </w:t>
    </w:r>
  </w:p>
  <w:p w:rsidR="003A0EA4" w:rsidRDefault="0076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2"/>
      <w:jc w:val="center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>pn.: „Dostawa używanego średniego samochodu pożarniczo, ratowniczo-gaśniczego z napędem 4x4 dla OSP Leszczyny”</w:t>
    </w:r>
  </w:p>
  <w:p w:rsidR="003A0EA4" w:rsidRDefault="003A0E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12C"/>
    <w:multiLevelType w:val="multilevel"/>
    <w:tmpl w:val="533CBBB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72408A"/>
    <w:multiLevelType w:val="multilevel"/>
    <w:tmpl w:val="7876BA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7A6EFD"/>
    <w:multiLevelType w:val="multilevel"/>
    <w:tmpl w:val="84701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16370E"/>
    <w:multiLevelType w:val="multilevel"/>
    <w:tmpl w:val="A4CA64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3955C8"/>
    <w:multiLevelType w:val="multilevel"/>
    <w:tmpl w:val="6366DF2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2EE6"/>
    <w:multiLevelType w:val="multilevel"/>
    <w:tmpl w:val="E47E5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034E"/>
    <w:multiLevelType w:val="multilevel"/>
    <w:tmpl w:val="EBF014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7004D"/>
    <w:multiLevelType w:val="multilevel"/>
    <w:tmpl w:val="8F6A50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A15526"/>
    <w:multiLevelType w:val="multilevel"/>
    <w:tmpl w:val="B12EBC4E"/>
    <w:lvl w:ilvl="0">
      <w:start w:val="1"/>
      <w:numFmt w:val="bullet"/>
      <w:lvlText w:val="o"/>
      <w:lvlJc w:val="left"/>
      <w:pPr>
        <w:ind w:left="64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EE252E5"/>
    <w:multiLevelType w:val="multilevel"/>
    <w:tmpl w:val="E6C46C6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45EE5"/>
    <w:multiLevelType w:val="multilevel"/>
    <w:tmpl w:val="7638E1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CB2BEE"/>
    <w:multiLevelType w:val="multilevel"/>
    <w:tmpl w:val="FA8215E2"/>
    <w:lvl w:ilvl="0">
      <w:start w:val="1"/>
      <w:numFmt w:val="bullet"/>
      <w:lvlText w:val="o"/>
      <w:lvlJc w:val="left"/>
      <w:pPr>
        <w:ind w:left="72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A80839"/>
    <w:multiLevelType w:val="multilevel"/>
    <w:tmpl w:val="5F5CA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0EA4"/>
    <w:rsid w:val="003111C0"/>
    <w:rsid w:val="003A0EA4"/>
    <w:rsid w:val="005E7279"/>
    <w:rsid w:val="007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pPr>
      <w:keepNext/>
      <w:tabs>
        <w:tab w:val="left" w:pos="1872"/>
        <w:tab w:val="right" w:pos="8953"/>
      </w:tabs>
      <w:ind w:left="1872" w:hanging="1546"/>
      <w:jc w:val="right"/>
      <w:outlineLvl w:val="1"/>
    </w:pPr>
    <w:rPr>
      <w:rFonts w:ascii="Arial" w:eastAsia="Arial" w:hAnsi="Arial" w:cs="Arial"/>
      <w:b/>
      <w:i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pPr>
      <w:keepNext/>
      <w:tabs>
        <w:tab w:val="left" w:pos="1872"/>
        <w:tab w:val="right" w:pos="8953"/>
      </w:tabs>
      <w:ind w:left="1872" w:hanging="1546"/>
      <w:jc w:val="right"/>
      <w:outlineLvl w:val="1"/>
    </w:pPr>
    <w:rPr>
      <w:rFonts w:ascii="Arial" w:eastAsia="Arial" w:hAnsi="Arial" w:cs="Arial"/>
      <w:b/>
      <w:i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1948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</cp:lastModifiedBy>
  <cp:revision>3</cp:revision>
  <cp:lastPrinted>2022-11-23T10:34:00Z</cp:lastPrinted>
  <dcterms:created xsi:type="dcterms:W3CDTF">2022-11-23T10:33:00Z</dcterms:created>
  <dcterms:modified xsi:type="dcterms:W3CDTF">2022-11-23T11:54:00Z</dcterms:modified>
</cp:coreProperties>
</file>