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>składany w postępowan</w:t>
      </w:r>
      <w:bookmarkStart w:id="0" w:name="_GoBack"/>
      <w:bookmarkEnd w:id="0"/>
      <w:r w:rsidRPr="007672E2">
        <w:rPr>
          <w:rFonts w:eastAsia="Times New Roman" w:cstheme="minorHAnsi"/>
          <w:b/>
          <w:lang w:eastAsia="pl-PL"/>
        </w:rPr>
        <w:t xml:space="preserve">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256046">
        <w:rPr>
          <w:rFonts w:cstheme="minorHAnsi"/>
          <w:b/>
          <w:color w:val="000000"/>
        </w:rPr>
        <w:t>4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7A0F7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Pr="000653B8">
        <w:rPr>
          <w:rFonts w:cstheme="minorHAnsi"/>
          <w:b/>
        </w:rPr>
        <w:t>Budowa boiska wielofunkcyjnego przy Szkole Podstawowej nr 1 w Ropczycach” w ramach zadania „Budowa szkolnej infrastruktury sportowej w Gminie Ropczyce”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7A0F78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56046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17</cp:revision>
  <cp:lastPrinted>2018-01-24T08:17:00Z</cp:lastPrinted>
  <dcterms:created xsi:type="dcterms:W3CDTF">2017-02-15T07:32:00Z</dcterms:created>
  <dcterms:modified xsi:type="dcterms:W3CDTF">2021-03-10T13:23:00Z</dcterms:modified>
</cp:coreProperties>
</file>