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E077" w14:textId="10ADF53F" w:rsidR="004B5C56" w:rsidRPr="004B5C56" w:rsidRDefault="004B5C56" w:rsidP="00EA595C">
      <w:pPr>
        <w:jc w:val="both"/>
        <w:rPr>
          <w:b/>
          <w:bCs/>
        </w:rPr>
      </w:pPr>
      <w:r w:rsidRPr="004B5C56">
        <w:rPr>
          <w:b/>
          <w:bCs/>
        </w:rPr>
        <w:t>Opis Przedmiotu Zamówienia</w:t>
      </w:r>
    </w:p>
    <w:p w14:paraId="73039646" w14:textId="52C793F4" w:rsidR="00EA595C" w:rsidRDefault="00EA595C" w:rsidP="00EA595C">
      <w:pPr>
        <w:jc w:val="both"/>
      </w:pPr>
      <w:r>
        <w:t xml:space="preserve">Przedmiotem zamówienia są roboty budowlane polegające na przebudowie i zmianie sposobu użytkowania Etap II części parteru istniejącego obiektu szkoły wraz z budową pochylni dla niepełnosprawnych przy Zespole </w:t>
      </w:r>
      <w:proofErr w:type="spellStart"/>
      <w:r>
        <w:t>Szkolno</w:t>
      </w:r>
      <w:proofErr w:type="spellEnd"/>
      <w:r>
        <w:t xml:space="preserve"> -  Przedszkolnym – ulica Mickiewicza 4  w miejscowości Lubawka.</w:t>
      </w:r>
    </w:p>
    <w:p w14:paraId="6B7B7187" w14:textId="6F5CDC07" w:rsidR="001E1DE7" w:rsidRDefault="001E1DE7" w:rsidP="00EA595C">
      <w:pPr>
        <w:jc w:val="both"/>
      </w:pPr>
      <w:r>
        <w:t>Zakres zamówienia obejmuje:</w:t>
      </w:r>
    </w:p>
    <w:p w14:paraId="26A8916A" w14:textId="613F56C8" w:rsidR="001E1DE7" w:rsidRDefault="001E1DE7" w:rsidP="001E1DE7">
      <w:pPr>
        <w:pStyle w:val="Akapitzlist"/>
        <w:numPr>
          <w:ilvl w:val="0"/>
          <w:numId w:val="1"/>
        </w:numPr>
        <w:jc w:val="both"/>
      </w:pPr>
      <w:r>
        <w:t>Budowę pochylni dla osób niepełnosprawnych o konstrukcji żelbetowej,</w:t>
      </w:r>
      <w:r w:rsidR="0051641F">
        <w:t xml:space="preserve"> a w szczególności: </w:t>
      </w:r>
    </w:p>
    <w:p w14:paraId="1E688EE9" w14:textId="2CB16897" w:rsidR="0051641F" w:rsidRDefault="0051641F" w:rsidP="0051641F">
      <w:pPr>
        <w:pStyle w:val="Akapitzlist"/>
        <w:numPr>
          <w:ilvl w:val="1"/>
          <w:numId w:val="1"/>
        </w:numPr>
        <w:jc w:val="both"/>
      </w:pPr>
      <w:r>
        <w:t xml:space="preserve">Roboty przygotowawcze i rozbiórkowe, </w:t>
      </w:r>
    </w:p>
    <w:p w14:paraId="26EEA80B" w14:textId="3F543729" w:rsidR="0051641F" w:rsidRDefault="0051641F" w:rsidP="0051641F">
      <w:pPr>
        <w:pStyle w:val="Akapitzlist"/>
        <w:numPr>
          <w:ilvl w:val="1"/>
          <w:numId w:val="1"/>
        </w:numPr>
        <w:jc w:val="both"/>
      </w:pPr>
      <w:r>
        <w:t>Roboty ziemne i konstrukcyjne,</w:t>
      </w:r>
    </w:p>
    <w:p w14:paraId="2FEDE4F2" w14:textId="1FE5DF98" w:rsidR="0051641F" w:rsidRDefault="0051641F" w:rsidP="0051641F">
      <w:pPr>
        <w:pStyle w:val="Akapitzlist"/>
        <w:numPr>
          <w:ilvl w:val="1"/>
          <w:numId w:val="1"/>
        </w:numPr>
        <w:jc w:val="both"/>
      </w:pPr>
      <w:r>
        <w:t xml:space="preserve">Roboty  wykończeniowe i uporządkowanie terenu. </w:t>
      </w:r>
    </w:p>
    <w:p w14:paraId="4214BAE1" w14:textId="77777777" w:rsidR="004B5C56" w:rsidRDefault="001E1DE7" w:rsidP="001E1DE7">
      <w:pPr>
        <w:pStyle w:val="Akapitzlist"/>
        <w:numPr>
          <w:ilvl w:val="0"/>
          <w:numId w:val="1"/>
        </w:numPr>
        <w:jc w:val="both"/>
      </w:pPr>
      <w:r>
        <w:t>Zmianę sposobu użytkowania Etap II części parteru istniejącego obiektu szkoły podstawowej</w:t>
      </w:r>
      <w:r w:rsidR="004B5C56">
        <w:t>, a w szczególności:</w:t>
      </w:r>
    </w:p>
    <w:p w14:paraId="4FFD8E79" w14:textId="74610F2E" w:rsidR="004B5C56" w:rsidRDefault="004B5C56" w:rsidP="004B5C56">
      <w:pPr>
        <w:pStyle w:val="Akapitzlist"/>
        <w:numPr>
          <w:ilvl w:val="1"/>
          <w:numId w:val="1"/>
        </w:numPr>
        <w:jc w:val="both"/>
      </w:pPr>
      <w:r>
        <w:t xml:space="preserve"> Roboty budowlane – piwnica,</w:t>
      </w:r>
    </w:p>
    <w:p w14:paraId="366DA3DB" w14:textId="5D1D07A5" w:rsidR="001E1DE7" w:rsidRDefault="001E1DE7" w:rsidP="004B5C56">
      <w:pPr>
        <w:pStyle w:val="Akapitzlist"/>
        <w:numPr>
          <w:ilvl w:val="1"/>
          <w:numId w:val="1"/>
        </w:numPr>
        <w:jc w:val="both"/>
      </w:pPr>
      <w:r>
        <w:t xml:space="preserve"> </w:t>
      </w:r>
      <w:r w:rsidR="004B5C56">
        <w:t xml:space="preserve">Roboty instalacyjne, </w:t>
      </w:r>
    </w:p>
    <w:p w14:paraId="4E00572F" w14:textId="109684F7" w:rsidR="004B5C56" w:rsidRDefault="004B5C56" w:rsidP="004B5C56">
      <w:pPr>
        <w:pStyle w:val="Akapitzlist"/>
        <w:numPr>
          <w:ilvl w:val="1"/>
          <w:numId w:val="1"/>
        </w:numPr>
        <w:jc w:val="both"/>
      </w:pPr>
      <w:r>
        <w:t xml:space="preserve">Roboty budowlane – strefa wejścia przy klatce schodowej, </w:t>
      </w:r>
    </w:p>
    <w:p w14:paraId="7F405E4D" w14:textId="3B726647" w:rsidR="004B5C56" w:rsidRDefault="004B5C56" w:rsidP="004B5C56">
      <w:pPr>
        <w:pStyle w:val="Akapitzlist"/>
        <w:numPr>
          <w:ilvl w:val="1"/>
          <w:numId w:val="1"/>
        </w:numPr>
        <w:jc w:val="both"/>
      </w:pPr>
      <w:r>
        <w:t xml:space="preserve">Roboty budowlane – strefa wejścia głównego przedszkola, </w:t>
      </w:r>
    </w:p>
    <w:p w14:paraId="284ADAD5" w14:textId="039E26AF" w:rsidR="004B5C56" w:rsidRDefault="004B5C56" w:rsidP="004B5C56">
      <w:pPr>
        <w:pStyle w:val="Akapitzlist"/>
        <w:numPr>
          <w:ilvl w:val="1"/>
          <w:numId w:val="1"/>
        </w:numPr>
        <w:jc w:val="both"/>
      </w:pPr>
      <w:r>
        <w:t xml:space="preserve">Roboty budowlane – strefa wejścia głównego szkoły, </w:t>
      </w:r>
    </w:p>
    <w:p w14:paraId="33DCA4E9" w14:textId="3B60E887" w:rsidR="004B5C56" w:rsidRDefault="004B5C56" w:rsidP="004B5C56">
      <w:pPr>
        <w:pStyle w:val="Akapitzlist"/>
        <w:numPr>
          <w:ilvl w:val="1"/>
          <w:numId w:val="1"/>
        </w:numPr>
        <w:jc w:val="both"/>
      </w:pPr>
      <w:r>
        <w:t xml:space="preserve">Roboty budowlane – dachy wejścia głównego szkoły i przedszkola, </w:t>
      </w:r>
    </w:p>
    <w:p w14:paraId="22FBEB18" w14:textId="014135E0" w:rsidR="004B5C56" w:rsidRDefault="004B5C56" w:rsidP="004B5C56">
      <w:pPr>
        <w:pStyle w:val="Akapitzlist"/>
        <w:numPr>
          <w:ilvl w:val="1"/>
          <w:numId w:val="1"/>
        </w:numPr>
        <w:jc w:val="both"/>
      </w:pPr>
      <w:r>
        <w:t xml:space="preserve">Roboty budowlane – dach wejścia przy klatce schodowej, </w:t>
      </w:r>
    </w:p>
    <w:p w14:paraId="1C1AD16A" w14:textId="3C63EF5D" w:rsidR="004B5C56" w:rsidRDefault="004B5C56" w:rsidP="004B5C56">
      <w:pPr>
        <w:pStyle w:val="Akapitzlist"/>
        <w:numPr>
          <w:ilvl w:val="1"/>
          <w:numId w:val="1"/>
        </w:numPr>
        <w:jc w:val="both"/>
      </w:pPr>
      <w:r>
        <w:t xml:space="preserve">Roboty budowlane – parter, </w:t>
      </w:r>
    </w:p>
    <w:p w14:paraId="747BF735" w14:textId="60E28B04" w:rsidR="004B5C56" w:rsidRDefault="00EA595C" w:rsidP="00EA595C">
      <w:pPr>
        <w:jc w:val="both"/>
      </w:pPr>
      <w:r>
        <w:t xml:space="preserve">Na zadanie przyznana została wstępna promesa dofinansowania inwestycji z Rządowego Funduszu Polski Ład: Program Inwestycji Strategicznych. </w:t>
      </w:r>
    </w:p>
    <w:p w14:paraId="22947A70" w14:textId="5EFFD0FE" w:rsidR="0051641F" w:rsidRDefault="0051641F" w:rsidP="00EA595C">
      <w:pPr>
        <w:jc w:val="both"/>
      </w:pPr>
      <w:r>
        <w:t xml:space="preserve">Realizacja zadania odbywać będzie się na podstawie wydanej decyzji pozwolenia na budowę 108/23 z dnia 05 lipca 2023 roku </w:t>
      </w:r>
      <w:r w:rsidR="004B5C56">
        <w:t xml:space="preserve">zgodnie z dokumentacją projektowo – kosztorysową opracowaną przez mgr inż. Katarzynę Jabłońską – Magiera. </w:t>
      </w:r>
    </w:p>
    <w:p w14:paraId="729CD68C" w14:textId="77777777" w:rsidR="001E1DE7" w:rsidRDefault="001E1DE7" w:rsidP="00EA595C">
      <w:pPr>
        <w:jc w:val="both"/>
      </w:pPr>
    </w:p>
    <w:p w14:paraId="6EE039C4" w14:textId="3494A71F" w:rsidR="001E1DE7" w:rsidRDefault="001E1DE7" w:rsidP="00EA595C">
      <w:pPr>
        <w:jc w:val="both"/>
      </w:pPr>
      <w:r>
        <w:t xml:space="preserve">Termin wykonania zamówienia: </w:t>
      </w:r>
    </w:p>
    <w:p w14:paraId="29E91D63" w14:textId="065F9BBE" w:rsidR="001E1DE7" w:rsidRDefault="001E1DE7" w:rsidP="006E4BD2">
      <w:pPr>
        <w:pStyle w:val="Akapitzlist"/>
        <w:numPr>
          <w:ilvl w:val="0"/>
          <w:numId w:val="2"/>
        </w:numPr>
        <w:jc w:val="both"/>
      </w:pPr>
      <w:r>
        <w:t xml:space="preserve">Budowa pochylni dla osób niepełnosprawnych: </w:t>
      </w:r>
      <w:r w:rsidR="00FE40EB">
        <w:t xml:space="preserve">o konstrukcji żelbetowej – do 8 tygodni od daty zawarcia umowy. </w:t>
      </w:r>
    </w:p>
    <w:p w14:paraId="7D08E6E0" w14:textId="2284F7E8" w:rsidR="00FE40EB" w:rsidRDefault="00FE40EB" w:rsidP="006E4BD2">
      <w:pPr>
        <w:pStyle w:val="Akapitzlist"/>
        <w:numPr>
          <w:ilvl w:val="0"/>
          <w:numId w:val="2"/>
        </w:numPr>
        <w:jc w:val="both"/>
      </w:pPr>
      <w:r w:rsidRPr="00FE40EB">
        <w:t>Zmianę sposobu użytkowania Etap II części parteru istniejącego obiektu szkoły podstawowej</w:t>
      </w:r>
      <w:r>
        <w:t xml:space="preserve">: </w:t>
      </w:r>
    </w:p>
    <w:p w14:paraId="1645DD78" w14:textId="14154A23" w:rsidR="00FE40EB" w:rsidRDefault="00FE40EB" w:rsidP="006E4BD2">
      <w:pPr>
        <w:pStyle w:val="Akapitzlist"/>
        <w:jc w:val="both"/>
      </w:pPr>
      <w:r>
        <w:t xml:space="preserve">prace przewidziane do realizacji w miejscu zmywalni oraz kuchni należy rozpocząć nie wcześniej niż dnia 01 lipca 2024 roku, pozostały zakres prac należy rozpocząć nie wcześniej niż </w:t>
      </w:r>
      <w:r w:rsidR="006E4BD2">
        <w:t xml:space="preserve">01 czerwca 2024 roku. </w:t>
      </w:r>
      <w:r w:rsidR="004A1711">
        <w:t xml:space="preserve">Prace należy zakończyć nie później niż do dnia 31 lipca 2024 roku. </w:t>
      </w:r>
    </w:p>
    <w:p w14:paraId="1903CC6F" w14:textId="77777777" w:rsidR="004A1711" w:rsidRDefault="004A1711" w:rsidP="004A1711">
      <w:pPr>
        <w:jc w:val="both"/>
      </w:pPr>
    </w:p>
    <w:p w14:paraId="2C8C223C" w14:textId="5206258E" w:rsidR="004A1711" w:rsidRDefault="004A1711" w:rsidP="004A1711">
      <w:pPr>
        <w:jc w:val="both"/>
      </w:pPr>
      <w:r>
        <w:t>Warunki udziału w postępowaniu:</w:t>
      </w:r>
    </w:p>
    <w:p w14:paraId="150594D2" w14:textId="2EE7F826" w:rsidR="004A1711" w:rsidRDefault="004A1711" w:rsidP="004A1711">
      <w:pPr>
        <w:jc w:val="both"/>
      </w:pPr>
      <w:r w:rsidRPr="004A1711">
        <w:rPr>
          <w:b/>
          <w:bCs/>
        </w:rPr>
        <w:t>Sytuacja ekonomiczna lub finansowa:</w:t>
      </w:r>
      <w:r>
        <w:t xml:space="preserve">  o udzielenie zamówienia publicznego mogą ubiegać się wykonawcy, którzy spełniają warunki, dotyczące sytuacji ekonomicznej lub finansowej. Ocena spełniania warunków udziału w postępowaniu będzie dokonana na zasadzie spełnia/nie spełnia. Zamawiający wymaga aby Wykonawca wykazał, że posiada polisę o wartości co najmniej 200.000,00 zł. (słownie: dwieście tysięcy złotych), a w przypadku jej braku inny dokument potwierdzający, że Wykonawca jest ubezpieczony od odpowiedzialności cywilnej w zakresie prowadzonej działalności związanej z przedmiotem zamówienia.</w:t>
      </w:r>
    </w:p>
    <w:p w14:paraId="4F4A4207" w14:textId="77777777" w:rsidR="004A1711" w:rsidRDefault="004A1711" w:rsidP="004A1711">
      <w:pPr>
        <w:jc w:val="both"/>
      </w:pPr>
    </w:p>
    <w:p w14:paraId="6941E358" w14:textId="6FC64BCF" w:rsidR="004A1711" w:rsidRDefault="004A1711" w:rsidP="004A1711">
      <w:pPr>
        <w:jc w:val="both"/>
      </w:pPr>
      <w:r w:rsidRPr="004A1711">
        <w:rPr>
          <w:b/>
          <w:bCs/>
        </w:rPr>
        <w:t>Zdolność techniczna lub zawodowa:</w:t>
      </w:r>
      <w:r>
        <w:t xml:space="preserve"> o udzielenie zamówienia publicznego mogą ubiegać się wykonawcy, którzy spełniają warunki, dotyczące zdolności technicznej lub zawodowej. Ocena spełniania warunków udziału w postępowaniu będzie dokonana na zasadzie spełnia/nie spełnia.</w:t>
      </w:r>
    </w:p>
    <w:p w14:paraId="1AC2DD1C" w14:textId="58D7CB25" w:rsidR="004A1711" w:rsidRDefault="004A1711" w:rsidP="004A1711">
      <w:pPr>
        <w:pStyle w:val="Akapitzlist"/>
        <w:numPr>
          <w:ilvl w:val="0"/>
          <w:numId w:val="3"/>
        </w:numPr>
        <w:jc w:val="both"/>
      </w:pPr>
      <w:r>
        <w:t xml:space="preserve">Zamawiający wymaga, aby Wykonawca wykazał, że w okresie ostatnich 5 lat przed upływem terminu składania ofert, albo wniosków o dopuszczenie do udziału w postępowaniu, a jeżeli okres prowadzenia działalności jest krótszy - to w tym okresie, zrealizował co najmniej 1 zadanie związane z budową, przebudową lub remontem budynku o wartości nie mniejszej niż 200.000,00 zł. brutto  (słownie: dwieście tysięcy złotych) - (zrealizowane w ramach jednej umowy). </w:t>
      </w:r>
    </w:p>
    <w:p w14:paraId="1974F341" w14:textId="7FCD6753" w:rsidR="004A1711" w:rsidRDefault="004A1711" w:rsidP="004A1711">
      <w:pPr>
        <w:pStyle w:val="Akapitzlist"/>
        <w:numPr>
          <w:ilvl w:val="0"/>
          <w:numId w:val="3"/>
        </w:numPr>
        <w:jc w:val="both"/>
      </w:pPr>
      <w:r>
        <w:t>2) Zamawiający wymaga, aby Wykonawca wykazał, że dysponuje lub będzie dysponował osobami zdolnymi do wykonania zamówienia w szczególności: kierownikiem budowy posiadającym uprawnienia budowlane w specjalności konstrukcyjno-budowlanej</w:t>
      </w:r>
      <w:r w:rsidR="000C54C3">
        <w:t xml:space="preserve"> – wydane na podstawie ustawy z dnia 7 lipca 1994 roku Prawo Budowlane Rozdział 2 „Samodzielne funkcje techniczne w budownictwie” lub odpowiadające im  równoważne uprawnienia budowlane, które zostały wydane na podstawie wcześniej obowiązujących przepisów. </w:t>
      </w:r>
    </w:p>
    <w:p w14:paraId="77D21AC2" w14:textId="482B36E7" w:rsidR="004A1711" w:rsidRDefault="004A1711" w:rsidP="004A1711">
      <w:pPr>
        <w:pStyle w:val="Akapitzlist"/>
        <w:jc w:val="both"/>
      </w:pPr>
    </w:p>
    <w:p w14:paraId="60E09087" w14:textId="77777777" w:rsidR="004A1711" w:rsidRDefault="004A1711" w:rsidP="004A1711">
      <w:pPr>
        <w:pStyle w:val="Akapitzlist"/>
        <w:jc w:val="both"/>
      </w:pPr>
    </w:p>
    <w:p w14:paraId="51300754" w14:textId="2A7F1238" w:rsidR="004A1711" w:rsidRDefault="004A1711" w:rsidP="0051641F">
      <w:pPr>
        <w:jc w:val="both"/>
        <w:rPr>
          <w:b/>
          <w:bCs/>
        </w:rPr>
      </w:pPr>
      <w:r w:rsidRPr="0051641F">
        <w:rPr>
          <w:b/>
          <w:bCs/>
        </w:rPr>
        <w:t>Wysokość zabezpieczenia należytego wykonania umowy:</w:t>
      </w:r>
      <w:r w:rsidR="0051641F">
        <w:t xml:space="preserve"> </w:t>
      </w:r>
      <w:r w:rsidRPr="004A1711">
        <w:t xml:space="preserve">Zamawiający ustala zabezpieczenie należytego wykonania umowy zawartej w wyniku postępowania o udzielenie niniejszego zamówienia, wysokości </w:t>
      </w:r>
      <w:r w:rsidRPr="0051641F">
        <w:rPr>
          <w:b/>
        </w:rPr>
        <w:t xml:space="preserve">5 </w:t>
      </w:r>
      <w:r w:rsidRPr="0051641F">
        <w:rPr>
          <w:b/>
          <w:bCs/>
        </w:rPr>
        <w:t>% ceny całkowitej podanej w ofercie.</w:t>
      </w:r>
    </w:p>
    <w:p w14:paraId="7F97E508" w14:textId="77777777" w:rsidR="000C54C3" w:rsidRDefault="000C54C3" w:rsidP="0051641F">
      <w:pPr>
        <w:jc w:val="both"/>
        <w:rPr>
          <w:b/>
          <w:bCs/>
        </w:rPr>
      </w:pPr>
    </w:p>
    <w:p w14:paraId="364ACCED" w14:textId="230325EB" w:rsidR="000C54C3" w:rsidRDefault="000C54C3" w:rsidP="0051641F">
      <w:pPr>
        <w:jc w:val="both"/>
        <w:rPr>
          <w:b/>
          <w:bCs/>
        </w:rPr>
      </w:pPr>
      <w:r>
        <w:rPr>
          <w:b/>
          <w:bCs/>
        </w:rPr>
        <w:t xml:space="preserve">Zamawiający nie wymaga wniesienia wadium. </w:t>
      </w:r>
    </w:p>
    <w:p w14:paraId="1FBF080A" w14:textId="77777777" w:rsidR="0051641F" w:rsidRPr="0051641F" w:rsidRDefault="0051641F" w:rsidP="0051641F">
      <w:pPr>
        <w:jc w:val="both"/>
        <w:rPr>
          <w:b/>
          <w:bCs/>
        </w:rPr>
      </w:pPr>
    </w:p>
    <w:p w14:paraId="65F3E6E5" w14:textId="47584559" w:rsidR="004A1711" w:rsidRPr="004A1711" w:rsidRDefault="0051641F" w:rsidP="004A1711">
      <w:pPr>
        <w:tabs>
          <w:tab w:val="num" w:pos="680"/>
        </w:tabs>
      </w:pPr>
      <w:bookmarkStart w:id="0" w:name="_Toc63694382"/>
      <w:bookmarkStart w:id="1" w:name="_Toc63702208"/>
      <w:bookmarkStart w:id="2" w:name="_Toc68185378"/>
      <w:bookmarkStart w:id="3" w:name="_Toc68185817"/>
      <w:bookmarkStart w:id="4" w:name="_Toc68186155"/>
      <w:r w:rsidRPr="0051641F">
        <w:rPr>
          <w:b/>
          <w:bCs/>
        </w:rPr>
        <w:t>Ocena ofert:</w:t>
      </w:r>
      <w:r>
        <w:t xml:space="preserve"> </w:t>
      </w:r>
      <w:r w:rsidR="004A1711" w:rsidRPr="004A1711">
        <w:t>Oferty zostaną ocenione przez Zamawiającego w oparciu o następujące kryteria:</w:t>
      </w:r>
      <w:bookmarkEnd w:id="0"/>
      <w:bookmarkEnd w:id="1"/>
      <w:bookmarkEnd w:id="2"/>
      <w:bookmarkEnd w:id="3"/>
      <w:bookmarkEnd w:id="4"/>
    </w:p>
    <w:p w14:paraId="58EDC0BF" w14:textId="77777777" w:rsidR="004A1711" w:rsidRPr="004A1711" w:rsidRDefault="004A1711" w:rsidP="004A1711">
      <w:pPr>
        <w:tabs>
          <w:tab w:val="num" w:pos="1417"/>
        </w:tabs>
      </w:pPr>
      <w:bookmarkStart w:id="5" w:name="_Toc63694383"/>
      <w:bookmarkStart w:id="6" w:name="_Toc63702209"/>
      <w:bookmarkStart w:id="7" w:name="_Toc68185379"/>
      <w:bookmarkStart w:id="8" w:name="_Toc68185818"/>
      <w:bookmarkStart w:id="9" w:name="_Toc68186156"/>
      <w:r w:rsidRPr="004A1711">
        <w:t>Cena - 60%</w:t>
      </w:r>
      <w:bookmarkEnd w:id="5"/>
      <w:bookmarkEnd w:id="6"/>
      <w:bookmarkEnd w:id="7"/>
      <w:bookmarkEnd w:id="8"/>
      <w:bookmarkEnd w:id="9"/>
    </w:p>
    <w:p w14:paraId="34084C42" w14:textId="77777777" w:rsidR="004A1711" w:rsidRPr="004A1711" w:rsidRDefault="004A1711" w:rsidP="004A1711">
      <w:pPr>
        <w:tabs>
          <w:tab w:val="num" w:pos="1417"/>
        </w:tabs>
      </w:pPr>
      <w:bookmarkStart w:id="10" w:name="_Toc63694384"/>
      <w:bookmarkStart w:id="11" w:name="_Toc63702210"/>
      <w:bookmarkStart w:id="12" w:name="_Toc68185380"/>
      <w:bookmarkStart w:id="13" w:name="_Toc68185819"/>
      <w:bookmarkStart w:id="14" w:name="_Toc68186157"/>
      <w:r w:rsidRPr="004A1711">
        <w:t>Okres gwarancji na przedmiot zamówienia – 40%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62"/>
        <w:gridCol w:w="3117"/>
      </w:tblGrid>
      <w:tr w:rsidR="0051641F" w:rsidRPr="0051641F" w14:paraId="026E3471" w14:textId="77777777" w:rsidTr="0051641F">
        <w:trPr>
          <w:trHeight w:hRule="exact" w:val="784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bookmarkEnd w:id="10"/>
          <w:bookmarkEnd w:id="11"/>
          <w:bookmarkEnd w:id="12"/>
          <w:bookmarkEnd w:id="13"/>
          <w:bookmarkEnd w:id="14"/>
          <w:p w14:paraId="700A3FA8" w14:textId="77777777" w:rsidR="0051641F" w:rsidRPr="0051641F" w:rsidRDefault="0051641F" w:rsidP="0051641F">
            <w:r w:rsidRPr="0051641F">
              <w:rPr>
                <w:b/>
              </w:rPr>
              <w:t xml:space="preserve">Okres gwarancji </w:t>
            </w:r>
            <w:r w:rsidRPr="0051641F">
              <w:t xml:space="preserve"> </w:t>
            </w:r>
          </w:p>
          <w:p w14:paraId="5438F9E7" w14:textId="77777777" w:rsidR="0051641F" w:rsidRPr="0051641F" w:rsidRDefault="0051641F" w:rsidP="0051641F">
            <w:r w:rsidRPr="0051641F">
              <w:t>na wykonane przedmiot zamówienia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28D80616" w14:textId="77777777" w:rsidR="0051641F" w:rsidRPr="0051641F" w:rsidRDefault="0051641F" w:rsidP="0051641F">
            <w:pPr>
              <w:rPr>
                <w:iCs/>
              </w:rPr>
            </w:pPr>
            <w:r w:rsidRPr="0051641F">
              <w:rPr>
                <w:b/>
                <w:iCs/>
              </w:rPr>
              <w:t xml:space="preserve">ilość punktów </w:t>
            </w:r>
            <w:r w:rsidRPr="0051641F">
              <w:rPr>
                <w:iCs/>
              </w:rPr>
              <w:br/>
            </w:r>
            <w:r w:rsidRPr="0051641F">
              <w:rPr>
                <w:b/>
                <w:iCs/>
              </w:rPr>
              <w:t>do przyznania</w:t>
            </w:r>
          </w:p>
        </w:tc>
      </w:tr>
      <w:tr w:rsidR="0051641F" w:rsidRPr="0051641F" w14:paraId="427B18CE" w14:textId="77777777" w:rsidTr="0051641F">
        <w:trPr>
          <w:trHeight w:hRule="exact" w:val="340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8DE7A3D" w14:textId="77777777" w:rsidR="0051641F" w:rsidRPr="0051641F" w:rsidRDefault="0051641F" w:rsidP="0051641F">
            <w:r w:rsidRPr="0051641F">
              <w:t>36  m-</w:t>
            </w:r>
            <w:proofErr w:type="spellStart"/>
            <w:r w:rsidRPr="0051641F">
              <w:t>cy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044FED" w14:textId="77777777" w:rsidR="0051641F" w:rsidRPr="0051641F" w:rsidRDefault="0051641F" w:rsidP="0051641F">
            <w:r w:rsidRPr="0051641F">
              <w:t>0</w:t>
            </w:r>
          </w:p>
        </w:tc>
      </w:tr>
      <w:tr w:rsidR="0051641F" w:rsidRPr="0051641F" w14:paraId="57ECF594" w14:textId="77777777" w:rsidTr="0051641F">
        <w:trPr>
          <w:trHeight w:hRule="exact" w:val="340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7736B49" w14:textId="77777777" w:rsidR="0051641F" w:rsidRPr="0051641F" w:rsidRDefault="0051641F" w:rsidP="0051641F">
            <w:r w:rsidRPr="0051641F">
              <w:t>48 m-</w:t>
            </w:r>
            <w:proofErr w:type="spellStart"/>
            <w:r w:rsidRPr="0051641F">
              <w:t>cy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E777D4" w14:textId="77777777" w:rsidR="0051641F" w:rsidRPr="0051641F" w:rsidRDefault="0051641F" w:rsidP="0051641F">
            <w:r w:rsidRPr="0051641F">
              <w:t>20</w:t>
            </w:r>
          </w:p>
        </w:tc>
      </w:tr>
      <w:tr w:rsidR="0051641F" w:rsidRPr="0051641F" w14:paraId="1E13E9CB" w14:textId="77777777" w:rsidTr="0051641F">
        <w:trPr>
          <w:trHeight w:hRule="exact" w:val="334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8960875" w14:textId="77777777" w:rsidR="0051641F" w:rsidRPr="0051641F" w:rsidRDefault="0051641F" w:rsidP="0051641F">
            <w:r w:rsidRPr="0051641F">
              <w:t>60 m-</w:t>
            </w:r>
            <w:proofErr w:type="spellStart"/>
            <w:r w:rsidRPr="0051641F">
              <w:t>cy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CF343D" w14:textId="77777777" w:rsidR="0051641F" w:rsidRPr="0051641F" w:rsidRDefault="0051641F" w:rsidP="0051641F">
            <w:r w:rsidRPr="0051641F">
              <w:t>40</w:t>
            </w:r>
          </w:p>
        </w:tc>
      </w:tr>
    </w:tbl>
    <w:p w14:paraId="6A775379" w14:textId="77777777" w:rsidR="004A1711" w:rsidRDefault="004A1711" w:rsidP="004A1711"/>
    <w:p w14:paraId="1B2FF985" w14:textId="77777777" w:rsidR="00424105" w:rsidRDefault="00424105" w:rsidP="004A1711"/>
    <w:p w14:paraId="5917B3A8" w14:textId="77777777" w:rsidR="00424105" w:rsidRDefault="00424105" w:rsidP="004A1711"/>
    <w:p w14:paraId="1FC411BC" w14:textId="77777777" w:rsidR="00424105" w:rsidRDefault="00424105" w:rsidP="004A1711"/>
    <w:p w14:paraId="6B53D153" w14:textId="77777777" w:rsidR="00424105" w:rsidRDefault="00424105" w:rsidP="004A1711"/>
    <w:p w14:paraId="0EDB1070" w14:textId="77777777" w:rsidR="00CC37B3" w:rsidRDefault="00CC37B3" w:rsidP="004A1711"/>
    <w:p w14:paraId="2B4E29EE" w14:textId="2414396F" w:rsidR="00CC37B3" w:rsidRDefault="00CC37B3" w:rsidP="00CC37B3">
      <w:pPr>
        <w:jc w:val="both"/>
      </w:pPr>
      <w:r>
        <w:lastRenderedPageBreak/>
        <w:t xml:space="preserve">Zamawiający na podstawie art. 95 ust. 1 </w:t>
      </w:r>
      <w:proofErr w:type="spellStart"/>
      <w:r>
        <w:t>u.p.z.p</w:t>
      </w:r>
      <w:proofErr w:type="spellEnd"/>
      <w:r>
        <w:t>. wymaga zatrudnienia przez Wykonawcę lub Podwykonawcę na podstawie umowy o pracę w rozumieniu przepisów ustawy z dnia 26 czerwca 1974 r. Kodeks Pracy osób wykonujących następujące czynności:</w:t>
      </w:r>
    </w:p>
    <w:p w14:paraId="783DCA5A" w14:textId="77777777" w:rsidR="00424105" w:rsidRDefault="00424105" w:rsidP="00CC37B3">
      <w:pPr>
        <w:jc w:val="both"/>
      </w:pPr>
    </w:p>
    <w:p w14:paraId="5FCDE0F1" w14:textId="77777777" w:rsidR="00CC37B3" w:rsidRDefault="00CC37B3" w:rsidP="004A1711"/>
    <w:p w14:paraId="181E62CC" w14:textId="1844B2AC" w:rsidR="00CC37B3" w:rsidRDefault="00CC37B3" w:rsidP="00CC37B3">
      <w:pPr>
        <w:pStyle w:val="Akapitzlist"/>
        <w:numPr>
          <w:ilvl w:val="0"/>
          <w:numId w:val="5"/>
        </w:numPr>
      </w:pPr>
      <w:r>
        <w:t xml:space="preserve">Roboty budowlane, </w:t>
      </w:r>
    </w:p>
    <w:p w14:paraId="424A5CBA" w14:textId="57E1716D" w:rsidR="00CC37B3" w:rsidRDefault="00CC37B3" w:rsidP="00CC37B3">
      <w:pPr>
        <w:pStyle w:val="Akapitzlist"/>
        <w:numPr>
          <w:ilvl w:val="0"/>
          <w:numId w:val="5"/>
        </w:numPr>
      </w:pPr>
      <w:r>
        <w:t>Roboty remontowe,</w:t>
      </w:r>
    </w:p>
    <w:p w14:paraId="0B764B77" w14:textId="5566D66F" w:rsidR="00CC37B3" w:rsidRDefault="00CC37B3" w:rsidP="00CC37B3">
      <w:pPr>
        <w:pStyle w:val="Akapitzlist"/>
        <w:numPr>
          <w:ilvl w:val="0"/>
          <w:numId w:val="5"/>
        </w:numPr>
      </w:pPr>
      <w:r>
        <w:t>Roboty murarskie,</w:t>
      </w:r>
    </w:p>
    <w:p w14:paraId="7D3A1D65" w14:textId="7907CE14" w:rsidR="00CC37B3" w:rsidRDefault="00CC37B3" w:rsidP="00CC37B3">
      <w:pPr>
        <w:pStyle w:val="Akapitzlist"/>
        <w:numPr>
          <w:ilvl w:val="0"/>
          <w:numId w:val="5"/>
        </w:numPr>
      </w:pPr>
      <w:r>
        <w:t>Roboty malarskie,</w:t>
      </w:r>
    </w:p>
    <w:p w14:paraId="4B66D545" w14:textId="6318D7BF" w:rsidR="00CC37B3" w:rsidRDefault="00CC37B3" w:rsidP="00CC37B3">
      <w:pPr>
        <w:pStyle w:val="Akapitzlist"/>
        <w:numPr>
          <w:ilvl w:val="0"/>
          <w:numId w:val="5"/>
        </w:numPr>
      </w:pPr>
      <w:r>
        <w:t xml:space="preserve">Roboty wykończeniowe, </w:t>
      </w:r>
    </w:p>
    <w:p w14:paraId="3083394B" w14:textId="767002ED" w:rsidR="00CC37B3" w:rsidRDefault="00CC37B3" w:rsidP="00CC37B3">
      <w:pPr>
        <w:pStyle w:val="Akapitzlist"/>
        <w:numPr>
          <w:ilvl w:val="0"/>
          <w:numId w:val="5"/>
        </w:numPr>
      </w:pPr>
      <w:r>
        <w:t>Roboty elektryczne,</w:t>
      </w:r>
    </w:p>
    <w:p w14:paraId="5B5A518D" w14:textId="75DC6B7B" w:rsidR="00CC37B3" w:rsidRDefault="00CC37B3" w:rsidP="00CC37B3">
      <w:pPr>
        <w:pStyle w:val="Akapitzlist"/>
        <w:numPr>
          <w:ilvl w:val="0"/>
          <w:numId w:val="5"/>
        </w:numPr>
      </w:pPr>
      <w:r>
        <w:t xml:space="preserve">Roboty instalacyjne. </w:t>
      </w:r>
    </w:p>
    <w:p w14:paraId="76207231" w14:textId="29BCF227" w:rsidR="004B5C56" w:rsidRDefault="004B5C56" w:rsidP="004A1711">
      <w:r>
        <w:t xml:space="preserve">Przed złożeniem oferty na wykonanie przedmiotu zamówienia możliwe jest dokonanie wizji w terenie w tym celu do kontaktu podana jest Pani Daria Powązka – Łazarek tel. 572 353 732. </w:t>
      </w:r>
    </w:p>
    <w:p w14:paraId="10182615" w14:textId="77777777" w:rsidR="000C54C3" w:rsidRDefault="000C54C3" w:rsidP="004A1711"/>
    <w:p w14:paraId="1C121CB7" w14:textId="38701563" w:rsidR="000C54C3" w:rsidRPr="004A1711" w:rsidRDefault="000C54C3" w:rsidP="004A1711">
      <w:r>
        <w:t>Termin składania ofert: 2</w:t>
      </w:r>
      <w:r w:rsidR="00C574D1">
        <w:t>9</w:t>
      </w:r>
      <w:r>
        <w:t xml:space="preserve"> grudnia 2023 roku  do godziny </w:t>
      </w:r>
      <w:r w:rsidR="00C574D1">
        <w:t>12</w:t>
      </w:r>
      <w:r>
        <w:t xml:space="preserve">:00. </w:t>
      </w:r>
    </w:p>
    <w:p w14:paraId="4DBA0AC0" w14:textId="77777777" w:rsidR="004A1711" w:rsidRDefault="004A1711" w:rsidP="004A1711">
      <w:pPr>
        <w:pStyle w:val="Akapitzlist"/>
        <w:jc w:val="both"/>
      </w:pPr>
    </w:p>
    <w:p w14:paraId="009114CE" w14:textId="77777777" w:rsidR="004A1711" w:rsidRPr="00FE40EB" w:rsidRDefault="004A1711" w:rsidP="004A1711">
      <w:pPr>
        <w:pStyle w:val="Akapitzlist"/>
        <w:jc w:val="both"/>
      </w:pPr>
    </w:p>
    <w:p w14:paraId="5AD595BC" w14:textId="77777777" w:rsidR="00FE40EB" w:rsidRDefault="00FE40EB" w:rsidP="00FE40EB">
      <w:pPr>
        <w:pStyle w:val="Akapitzlist"/>
        <w:jc w:val="both"/>
      </w:pPr>
    </w:p>
    <w:sectPr w:rsidR="00FE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216"/>
    <w:multiLevelType w:val="hybridMultilevel"/>
    <w:tmpl w:val="CDE0A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94C"/>
    <w:multiLevelType w:val="hybridMultilevel"/>
    <w:tmpl w:val="CEA8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074B8"/>
    <w:multiLevelType w:val="multilevel"/>
    <w:tmpl w:val="BA3AF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E0621A4"/>
    <w:multiLevelType w:val="hybridMultilevel"/>
    <w:tmpl w:val="7548B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B1A91"/>
    <w:multiLevelType w:val="multilevel"/>
    <w:tmpl w:val="7FB83664"/>
    <w:lvl w:ilvl="0">
      <w:start w:val="1"/>
      <w:numFmt w:val="decimal"/>
      <w:lvlText w:val="15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 w16cid:durableId="1843349521">
    <w:abstractNumId w:val="2"/>
  </w:num>
  <w:num w:numId="2" w16cid:durableId="1520655878">
    <w:abstractNumId w:val="1"/>
  </w:num>
  <w:num w:numId="3" w16cid:durableId="1786801223">
    <w:abstractNumId w:val="3"/>
  </w:num>
  <w:num w:numId="4" w16cid:durableId="851337711">
    <w:abstractNumId w:val="4"/>
  </w:num>
  <w:num w:numId="5" w16cid:durableId="144718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5C"/>
    <w:rsid w:val="000C54C3"/>
    <w:rsid w:val="001E1DE7"/>
    <w:rsid w:val="00424105"/>
    <w:rsid w:val="004A1711"/>
    <w:rsid w:val="004B5C56"/>
    <w:rsid w:val="0051641F"/>
    <w:rsid w:val="006E4BD2"/>
    <w:rsid w:val="00BC46E7"/>
    <w:rsid w:val="00C574D1"/>
    <w:rsid w:val="00CC37B3"/>
    <w:rsid w:val="00EA595C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3B0D"/>
  <w15:chartTrackingRefBased/>
  <w15:docId w15:val="{9269D14F-2B4F-48A2-8AA7-F713C154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Powizka-Łazarek</dc:creator>
  <cp:keywords/>
  <dc:description/>
  <cp:lastModifiedBy>Daria Powizka-Łazarek</cp:lastModifiedBy>
  <cp:revision>5</cp:revision>
  <dcterms:created xsi:type="dcterms:W3CDTF">2023-11-21T11:38:00Z</dcterms:created>
  <dcterms:modified xsi:type="dcterms:W3CDTF">2023-12-15T07:14:00Z</dcterms:modified>
</cp:coreProperties>
</file>