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A4" w:rsidRPr="00620E9F" w:rsidRDefault="002F15A4" w:rsidP="002F15A4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20E9F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8F3597" wp14:editId="4A0790D6">
            <wp:simplePos x="0" y="0"/>
            <wp:positionH relativeFrom="margin">
              <wp:posOffset>114300</wp:posOffset>
            </wp:positionH>
            <wp:positionV relativeFrom="paragraph">
              <wp:posOffset>-191135</wp:posOffset>
            </wp:positionV>
            <wp:extent cx="732790" cy="1021715"/>
            <wp:effectExtent l="0" t="0" r="0" b="6985"/>
            <wp:wrapSquare wrapText="bothSides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E9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URZĄD MIASTA ŻYRARDOWA</w:t>
      </w:r>
    </w:p>
    <w:p w:rsidR="002F15A4" w:rsidRPr="00620E9F" w:rsidRDefault="002F15A4" w:rsidP="002F15A4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620E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</w:p>
    <w:p w:rsidR="002F15A4" w:rsidRPr="00620E9F" w:rsidRDefault="002F15A4" w:rsidP="002F15A4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Bolesława Limanowskiego 44, 96-300 Żyrardów </w:t>
      </w:r>
      <w:r w:rsidRPr="00620E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(46) 880-08-00, www.zyrardow.pl, www.bip.zyrardow.pl</w:t>
      </w:r>
    </w:p>
    <w:p w:rsidR="00D827C7" w:rsidRDefault="00D827C7" w:rsidP="003637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577D" w:rsidRDefault="004E7912" w:rsidP="004E7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7A0F" w:rsidRDefault="00097A0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B86A9A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53D7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="005529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3794" w:rsidRPr="00B86A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F15A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 w:rsidRPr="00B8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C52FA" w:rsidRPr="00B86A9A" w:rsidRDefault="005C52FA" w:rsidP="007944E1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AB4E62" w:rsidRDefault="007944E1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>ZP.271.2.</w:t>
      </w:r>
      <w:r w:rsidR="002F15A4">
        <w:rPr>
          <w:rFonts w:ascii="Times New Roman" w:hAnsi="Times New Roman" w:cs="Times New Roman"/>
          <w:sz w:val="24"/>
          <w:szCs w:val="24"/>
        </w:rPr>
        <w:t>31</w:t>
      </w:r>
      <w:r w:rsidRPr="00B86A9A">
        <w:rPr>
          <w:rFonts w:ascii="Times New Roman" w:hAnsi="Times New Roman" w:cs="Times New Roman"/>
          <w:sz w:val="24"/>
          <w:szCs w:val="24"/>
        </w:rPr>
        <w:t>.2024.</w:t>
      </w:r>
      <w:r w:rsidR="004E7912">
        <w:rPr>
          <w:rFonts w:ascii="Times New Roman" w:hAnsi="Times New Roman" w:cs="Times New Roman"/>
          <w:sz w:val="24"/>
          <w:szCs w:val="24"/>
        </w:rPr>
        <w:t>M</w:t>
      </w:r>
      <w:r w:rsidRPr="00B86A9A">
        <w:rPr>
          <w:rFonts w:ascii="Times New Roman" w:hAnsi="Times New Roman" w:cs="Times New Roman"/>
          <w:sz w:val="24"/>
          <w:szCs w:val="24"/>
        </w:rPr>
        <w:t>P</w:t>
      </w:r>
    </w:p>
    <w:p w:rsidR="00097A0F" w:rsidRPr="00B86A9A" w:rsidRDefault="00097A0F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D827C7" w:rsidRDefault="00E27887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ab/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 w:rsidRPr="00B86A9A">
        <w:rPr>
          <w:rFonts w:ascii="Times New Roman" w:hAnsi="Times New Roman" w:cs="Times New Roman"/>
          <w:sz w:val="24"/>
          <w:szCs w:val="24"/>
        </w:rPr>
        <w:t>284</w:t>
      </w:r>
      <w:r w:rsidR="007F6EF8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E169C1">
        <w:rPr>
          <w:rFonts w:ascii="Times New Roman" w:hAnsi="Times New Roman" w:cs="Times New Roman"/>
          <w:sz w:val="24"/>
          <w:szCs w:val="24"/>
        </w:rPr>
        <w:t>ust. 1 i 2</w:t>
      </w:r>
      <w:r w:rsidR="00EF7F22" w:rsidRPr="00EF7F22">
        <w:t xml:space="preserve"> </w:t>
      </w:r>
      <w:r w:rsidR="00EF7F22" w:rsidRPr="00EF7F22">
        <w:rPr>
          <w:rFonts w:ascii="Times New Roman" w:hAnsi="Times New Roman" w:cs="Times New Roman"/>
          <w:sz w:val="24"/>
          <w:szCs w:val="24"/>
        </w:rPr>
        <w:t xml:space="preserve">oraz 286 ust. 1 </w:t>
      </w:r>
      <w:r w:rsidR="00EF7F22">
        <w:rPr>
          <w:rFonts w:ascii="Times New Roman" w:hAnsi="Times New Roman" w:cs="Times New Roman"/>
          <w:sz w:val="24"/>
          <w:szCs w:val="24"/>
        </w:rPr>
        <w:t>ustawy</w:t>
      </w:r>
      <w:r w:rsidR="004A239F" w:rsidRPr="00B86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2C2AB6">
        <w:rPr>
          <w:rFonts w:ascii="Times New Roman" w:hAnsi="Times New Roman" w:cs="Times New Roman"/>
          <w:sz w:val="24"/>
          <w:szCs w:val="24"/>
        </w:rPr>
        <w:t>z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amówień </w:t>
      </w:r>
      <w:r w:rsidR="002C2AB6">
        <w:rPr>
          <w:rFonts w:ascii="Times New Roman" w:hAnsi="Times New Roman" w:cs="Times New Roman"/>
          <w:sz w:val="24"/>
          <w:szCs w:val="24"/>
        </w:rPr>
        <w:t>p</w:t>
      </w:r>
      <w:r w:rsidR="004A239F" w:rsidRPr="00B86A9A">
        <w:rPr>
          <w:rFonts w:ascii="Times New Roman" w:hAnsi="Times New Roman" w:cs="Times New Roman"/>
          <w:sz w:val="24"/>
          <w:szCs w:val="24"/>
        </w:rPr>
        <w:t>ublicznych (Dz. U. 202</w:t>
      </w:r>
      <w:r w:rsidR="00D7577D" w:rsidRPr="00B86A9A">
        <w:rPr>
          <w:rFonts w:ascii="Times New Roman" w:hAnsi="Times New Roman" w:cs="Times New Roman"/>
          <w:sz w:val="24"/>
          <w:szCs w:val="24"/>
        </w:rPr>
        <w:t>3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D7577D" w:rsidRPr="00B86A9A">
        <w:rPr>
          <w:rFonts w:ascii="Times New Roman" w:hAnsi="Times New Roman" w:cs="Times New Roman"/>
          <w:sz w:val="24"/>
          <w:szCs w:val="24"/>
        </w:rPr>
        <w:t>605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ze zm.) Zamawiający</w:t>
      </w:r>
      <w:r w:rsidR="006E08D1" w:rsidRPr="00B86A9A">
        <w:rPr>
          <w:rFonts w:ascii="Times New Roman" w:hAnsi="Times New Roman" w:cs="Times New Roman"/>
          <w:sz w:val="24"/>
          <w:szCs w:val="24"/>
        </w:rPr>
        <w:t xml:space="preserve"> - Miasto Żyrardów, Pl. Jana Pawła II nr 1 w Żyrardowie,</w:t>
      </w:r>
      <w:r w:rsidR="00D528EF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udziela wyjaśnień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treści </w:t>
      </w:r>
      <w:r w:rsidR="00EF7F22">
        <w:rPr>
          <w:rFonts w:ascii="Times New Roman" w:hAnsi="Times New Roman" w:cs="Times New Roman"/>
          <w:sz w:val="24"/>
          <w:szCs w:val="24"/>
        </w:rPr>
        <w:t xml:space="preserve">i dokonuje zmiany treści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SWZ </w:t>
      </w:r>
      <w:r w:rsidR="004A239F" w:rsidRPr="00B86A9A">
        <w:rPr>
          <w:rFonts w:ascii="Times New Roman" w:hAnsi="Times New Roman" w:cs="Times New Roman"/>
          <w:sz w:val="24"/>
          <w:szCs w:val="24"/>
        </w:rPr>
        <w:t>w postępowaniu o udziel</w:t>
      </w:r>
      <w:r w:rsidR="00D7577D" w:rsidRPr="00B86A9A">
        <w:rPr>
          <w:rFonts w:ascii="Times New Roman" w:hAnsi="Times New Roman" w:cs="Times New Roman"/>
          <w:sz w:val="24"/>
          <w:szCs w:val="24"/>
        </w:rPr>
        <w:t xml:space="preserve">enie zamówienia publicznego pn. </w:t>
      </w:r>
      <w:r w:rsidR="002F15A4" w:rsidRPr="002F15A4">
        <w:rPr>
          <w:rFonts w:ascii="Times New Roman" w:hAnsi="Times New Roman" w:cs="Times New Roman"/>
          <w:b/>
          <w:sz w:val="24"/>
          <w:szCs w:val="24"/>
        </w:rPr>
        <w:t>„Budowa</w:t>
      </w:r>
      <w:r w:rsidR="002F15A4">
        <w:rPr>
          <w:rFonts w:ascii="Times New Roman" w:hAnsi="Times New Roman" w:cs="Times New Roman"/>
          <w:b/>
          <w:sz w:val="24"/>
          <w:szCs w:val="24"/>
        </w:rPr>
        <w:t xml:space="preserve"> ulicy Chocimskiej w Żyrardowie</w:t>
      </w:r>
      <w:r w:rsidR="002F15A4" w:rsidRPr="002F15A4">
        <w:rPr>
          <w:rFonts w:ascii="Times New Roman" w:hAnsi="Times New Roman" w:cs="Times New Roman"/>
          <w:b/>
          <w:sz w:val="24"/>
          <w:szCs w:val="24"/>
        </w:rPr>
        <w:t>”</w:t>
      </w:r>
      <w:r w:rsidR="002F15A4">
        <w:rPr>
          <w:rFonts w:ascii="Times New Roman" w:hAnsi="Times New Roman" w:cs="Times New Roman"/>
          <w:b/>
          <w:sz w:val="24"/>
          <w:szCs w:val="24"/>
        </w:rPr>
        <w:t>.</w:t>
      </w:r>
    </w:p>
    <w:p w:rsidR="002F15A4" w:rsidRPr="002F15A4" w:rsidRDefault="002F15A4" w:rsidP="002F15A4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4">
        <w:rPr>
          <w:rFonts w:ascii="Times New Roman" w:hAnsi="Times New Roman" w:cs="Times New Roman"/>
          <w:sz w:val="24"/>
          <w:szCs w:val="24"/>
        </w:rPr>
        <w:t>Pytania dotyczące inwestycji i budowy oświetlenia dotyczą części te</w:t>
      </w:r>
      <w:r>
        <w:rPr>
          <w:rFonts w:ascii="Times New Roman" w:hAnsi="Times New Roman" w:cs="Times New Roman"/>
          <w:sz w:val="24"/>
          <w:szCs w:val="24"/>
        </w:rPr>
        <w:t xml:space="preserve">chnicznej i obowiązujących norm </w:t>
      </w:r>
      <w:r w:rsidRPr="002F15A4">
        <w:rPr>
          <w:rFonts w:ascii="Times New Roman" w:hAnsi="Times New Roman" w:cs="Times New Roman"/>
          <w:sz w:val="24"/>
          <w:szCs w:val="24"/>
        </w:rPr>
        <w:t>celem uzyskania najwięcej informacji co do zastosowania opraw diodo</w:t>
      </w:r>
      <w:r>
        <w:rPr>
          <w:rFonts w:ascii="Times New Roman" w:hAnsi="Times New Roman" w:cs="Times New Roman"/>
          <w:sz w:val="24"/>
          <w:szCs w:val="24"/>
        </w:rPr>
        <w:t xml:space="preserve">wych oświetleniowych i rzetelną </w:t>
      </w:r>
      <w:r w:rsidRPr="002F15A4">
        <w:rPr>
          <w:rFonts w:ascii="Times New Roman" w:hAnsi="Times New Roman" w:cs="Times New Roman"/>
          <w:sz w:val="24"/>
          <w:szCs w:val="24"/>
        </w:rPr>
        <w:t>wyceną, ale spełniającą wymagające wszystkie normy bezpieczeństwa c</w:t>
      </w:r>
      <w:r>
        <w:rPr>
          <w:rFonts w:ascii="Times New Roman" w:hAnsi="Times New Roman" w:cs="Times New Roman"/>
          <w:sz w:val="24"/>
          <w:szCs w:val="24"/>
        </w:rPr>
        <w:t xml:space="preserve">ertyfikaty oraz prawa autorskie </w:t>
      </w:r>
      <w:r w:rsidRPr="002F15A4">
        <w:rPr>
          <w:rFonts w:ascii="Times New Roman" w:hAnsi="Times New Roman" w:cs="Times New Roman"/>
          <w:sz w:val="24"/>
          <w:szCs w:val="24"/>
        </w:rPr>
        <w:t xml:space="preserve">produktów do inwestycji projektów i przebudowy w inwestycji </w:t>
      </w:r>
      <w:r>
        <w:rPr>
          <w:rFonts w:ascii="Times New Roman" w:hAnsi="Times New Roman" w:cs="Times New Roman"/>
          <w:sz w:val="24"/>
          <w:szCs w:val="24"/>
        </w:rPr>
        <w:t xml:space="preserve">.Miasto Żyrardów, ul. Bolesława </w:t>
      </w:r>
      <w:r w:rsidRPr="002F15A4">
        <w:rPr>
          <w:rFonts w:ascii="Times New Roman" w:hAnsi="Times New Roman" w:cs="Times New Roman"/>
          <w:sz w:val="24"/>
          <w:szCs w:val="24"/>
        </w:rPr>
        <w:t>Limanowskiego 44, 96-300, Żyrardów, woj. mazowieckie, państwo PL, tel. 46</w:t>
      </w:r>
      <w:r>
        <w:rPr>
          <w:rFonts w:ascii="Times New Roman" w:hAnsi="Times New Roman" w:cs="Times New Roman"/>
          <w:sz w:val="24"/>
          <w:szCs w:val="24"/>
        </w:rPr>
        <w:t xml:space="preserve"> 880 05 50, 46 880 05 55, email </w:t>
      </w:r>
      <w:r w:rsidRPr="002F15A4">
        <w:rPr>
          <w:rFonts w:ascii="Times New Roman" w:hAnsi="Times New Roman" w:cs="Times New Roman"/>
          <w:sz w:val="24"/>
          <w:szCs w:val="24"/>
        </w:rPr>
        <w:t>zamowieniapubliczne@zyrardow.pl</w:t>
      </w:r>
    </w:p>
    <w:p w:rsidR="002F15A4" w:rsidRPr="002F15A4" w:rsidRDefault="002F15A4" w:rsidP="002F15A4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4">
        <w:rPr>
          <w:rFonts w:ascii="Times New Roman" w:hAnsi="Times New Roman" w:cs="Times New Roman"/>
          <w:sz w:val="24"/>
          <w:szCs w:val="24"/>
        </w:rPr>
        <w:t>Adres strony internetowej (URL): http://www.zyrardow.pl</w:t>
      </w:r>
    </w:p>
    <w:p w:rsidR="002F15A4" w:rsidRPr="002F15A4" w:rsidRDefault="002F15A4" w:rsidP="002F15A4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4">
        <w:rPr>
          <w:rFonts w:ascii="Times New Roman" w:hAnsi="Times New Roman" w:cs="Times New Roman"/>
          <w:sz w:val="24"/>
          <w:szCs w:val="24"/>
        </w:rPr>
        <w:t>Przedmiotem zamówienia jest budowa ulicy Chocimskiej w Żyrardowie.</w:t>
      </w:r>
      <w:r>
        <w:rPr>
          <w:rFonts w:ascii="Times New Roman" w:hAnsi="Times New Roman" w:cs="Times New Roman"/>
          <w:sz w:val="24"/>
          <w:szCs w:val="24"/>
        </w:rPr>
        <w:t xml:space="preserve"> Zakres przedmiotu zamówienia </w:t>
      </w:r>
      <w:r w:rsidRPr="002F15A4">
        <w:rPr>
          <w:rFonts w:ascii="Times New Roman" w:hAnsi="Times New Roman" w:cs="Times New Roman"/>
          <w:sz w:val="24"/>
          <w:szCs w:val="24"/>
        </w:rPr>
        <w:t xml:space="preserve">obejmuje w szczególności:1) Budowę oświetlenia ulicznego </w:t>
      </w:r>
      <w:r>
        <w:rPr>
          <w:rFonts w:ascii="Times New Roman" w:hAnsi="Times New Roman" w:cs="Times New Roman"/>
          <w:sz w:val="24"/>
          <w:szCs w:val="24"/>
        </w:rPr>
        <w:t xml:space="preserve">– całość zgodnie z dokumentacją </w:t>
      </w:r>
      <w:r w:rsidRPr="002F15A4">
        <w:rPr>
          <w:rFonts w:ascii="Times New Roman" w:hAnsi="Times New Roman" w:cs="Times New Roman"/>
          <w:sz w:val="24"/>
          <w:szCs w:val="24"/>
        </w:rPr>
        <w:t>projektową,2) Budowę kanalizacji deszczowej całość zgodnie z do</w:t>
      </w:r>
      <w:r>
        <w:rPr>
          <w:rFonts w:ascii="Times New Roman" w:hAnsi="Times New Roman" w:cs="Times New Roman"/>
          <w:sz w:val="24"/>
          <w:szCs w:val="24"/>
        </w:rPr>
        <w:t xml:space="preserve">kumentacją projektową,3) Budowę </w:t>
      </w:r>
      <w:r w:rsidRPr="002F15A4">
        <w:rPr>
          <w:rFonts w:ascii="Times New Roman" w:hAnsi="Times New Roman" w:cs="Times New Roman"/>
          <w:sz w:val="24"/>
          <w:szCs w:val="24"/>
        </w:rPr>
        <w:t>nawierzchni jezdni, chodników i zjazdów na odcinku od ulicy Dąbrows</w:t>
      </w:r>
      <w:r>
        <w:rPr>
          <w:rFonts w:ascii="Times New Roman" w:hAnsi="Times New Roman" w:cs="Times New Roman"/>
          <w:sz w:val="24"/>
          <w:szCs w:val="24"/>
        </w:rPr>
        <w:t xml:space="preserve">kiego do wysokości działki o nr </w:t>
      </w:r>
      <w:proofErr w:type="spellStart"/>
      <w:r w:rsidRPr="002F15A4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2F15A4">
        <w:rPr>
          <w:rFonts w:ascii="Times New Roman" w:hAnsi="Times New Roman" w:cs="Times New Roman"/>
          <w:sz w:val="24"/>
          <w:szCs w:val="24"/>
        </w:rPr>
        <w:t>. 6648/17 – etap I. Szczegółowy zakres zamówienia określa Dokumen</w:t>
      </w:r>
      <w:r>
        <w:rPr>
          <w:rFonts w:ascii="Times New Roman" w:hAnsi="Times New Roman" w:cs="Times New Roman"/>
          <w:sz w:val="24"/>
          <w:szCs w:val="24"/>
        </w:rPr>
        <w:t xml:space="preserve">tacja projektowa i Specyfikacje </w:t>
      </w:r>
      <w:r w:rsidRPr="002F15A4">
        <w:rPr>
          <w:rFonts w:ascii="Times New Roman" w:hAnsi="Times New Roman" w:cs="Times New Roman"/>
          <w:sz w:val="24"/>
          <w:szCs w:val="24"/>
        </w:rPr>
        <w:t xml:space="preserve">Techniczne Wykonania i Odbioru Robót Budowlanych, stanowiące </w:t>
      </w:r>
      <w:r>
        <w:rPr>
          <w:rFonts w:ascii="Times New Roman" w:hAnsi="Times New Roman" w:cs="Times New Roman"/>
          <w:sz w:val="24"/>
          <w:szCs w:val="24"/>
        </w:rPr>
        <w:t xml:space="preserve">załącznik nr 8 do SWZ. Podstawą </w:t>
      </w:r>
      <w:r w:rsidRPr="002F15A4">
        <w:rPr>
          <w:rFonts w:ascii="Times New Roman" w:hAnsi="Times New Roman" w:cs="Times New Roman"/>
          <w:sz w:val="24"/>
          <w:szCs w:val="24"/>
        </w:rPr>
        <w:t>wyceny jest dokumentacja projektowa, przedmiar robót spełnia</w:t>
      </w:r>
      <w:r>
        <w:rPr>
          <w:rFonts w:ascii="Times New Roman" w:hAnsi="Times New Roman" w:cs="Times New Roman"/>
          <w:sz w:val="24"/>
          <w:szCs w:val="24"/>
        </w:rPr>
        <w:t xml:space="preserve"> wyłącznie rolę pomocniczą przy </w:t>
      </w:r>
      <w:r w:rsidRPr="002F15A4">
        <w:rPr>
          <w:rFonts w:ascii="Times New Roman" w:hAnsi="Times New Roman" w:cs="Times New Roman"/>
          <w:sz w:val="24"/>
          <w:szCs w:val="24"/>
        </w:rPr>
        <w:t>sporządzaniu oferty. Wykonawca udzieli gwarancji na wykonywany przez</w:t>
      </w:r>
      <w:r>
        <w:rPr>
          <w:rFonts w:ascii="Times New Roman" w:hAnsi="Times New Roman" w:cs="Times New Roman"/>
          <w:sz w:val="24"/>
          <w:szCs w:val="24"/>
        </w:rPr>
        <w:t xml:space="preserve"> siebie przedmiot zamówienia na </w:t>
      </w:r>
      <w:r w:rsidRPr="002F15A4">
        <w:rPr>
          <w:rFonts w:ascii="Times New Roman" w:hAnsi="Times New Roman" w:cs="Times New Roman"/>
          <w:sz w:val="24"/>
          <w:szCs w:val="24"/>
        </w:rPr>
        <w:t>okres minimum 36 miesięcy. Wykonawca może wydłużyć okres g</w:t>
      </w:r>
      <w:r>
        <w:rPr>
          <w:rFonts w:ascii="Times New Roman" w:hAnsi="Times New Roman" w:cs="Times New Roman"/>
          <w:sz w:val="24"/>
          <w:szCs w:val="24"/>
        </w:rPr>
        <w:t xml:space="preserve">warancji 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48 lub 60 miesięcy. </w:t>
      </w:r>
      <w:r w:rsidRPr="002F15A4">
        <w:rPr>
          <w:rFonts w:ascii="Times New Roman" w:hAnsi="Times New Roman" w:cs="Times New Roman"/>
          <w:sz w:val="24"/>
          <w:szCs w:val="24"/>
        </w:rPr>
        <w:t>Wydłużenie okresu gwarancji jest jednym z kryteriów oceny ofert.</w:t>
      </w:r>
      <w:r w:rsidRPr="002F15A4">
        <w:t xml:space="preserve"> </w:t>
      </w:r>
      <w:r w:rsidRPr="002F15A4">
        <w:rPr>
          <w:rFonts w:ascii="Times New Roman" w:hAnsi="Times New Roman" w:cs="Times New Roman"/>
          <w:sz w:val="24"/>
          <w:szCs w:val="24"/>
        </w:rPr>
        <w:t>Brak jest opisów które uniemożliwiają przygotowania rzetelnej wyceny i Moje pytania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1375" w:rsidRPr="00B86A9A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034571" w:rsidP="00B8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Pytanie nr </w:t>
      </w:r>
      <w:r w:rsidR="00E034D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2F15A4" w:rsidRPr="002F15A4" w:rsidRDefault="002F15A4" w:rsidP="002F15A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15A4">
        <w:rPr>
          <w:rFonts w:ascii="Times New Roman" w:eastAsia="Calibri" w:hAnsi="Times New Roman" w:cs="Times New Roman"/>
          <w:bCs/>
          <w:sz w:val="24"/>
          <w:szCs w:val="24"/>
        </w:rPr>
        <w:t>Czy realizowany inwestycja ma przyjęte obliczenia co do opraw 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ed zgodne z klasami oświetlenia </w:t>
      </w:r>
      <w:r w:rsidRPr="002F15A4">
        <w:rPr>
          <w:rFonts w:ascii="Times New Roman" w:eastAsia="Calibri" w:hAnsi="Times New Roman" w:cs="Times New Roman"/>
          <w:bCs/>
          <w:sz w:val="24"/>
          <w:szCs w:val="24"/>
        </w:rPr>
        <w:t>dróg M2 ,M3, M6 które zapewnią bezpieczeństwo na drogach, 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ołączenie odpowiednich obliczeń </w:t>
      </w:r>
      <w:r w:rsidRPr="002F15A4">
        <w:rPr>
          <w:rFonts w:ascii="Times New Roman" w:eastAsia="Calibri" w:hAnsi="Times New Roman" w:cs="Times New Roman"/>
          <w:bCs/>
          <w:sz w:val="24"/>
          <w:szCs w:val="24"/>
        </w:rPr>
        <w:t>fotometrycznych do zamówienia.</w:t>
      </w:r>
    </w:p>
    <w:p w:rsidR="0024579E" w:rsidRDefault="00E034D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7657DF" w:rsidRPr="007657DF" w:rsidRDefault="007657DF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7DF">
        <w:rPr>
          <w:rFonts w:ascii="Times New Roman" w:eastAsia="Calibri" w:hAnsi="Times New Roman" w:cs="Times New Roman"/>
          <w:sz w:val="24"/>
          <w:szCs w:val="24"/>
        </w:rPr>
        <w:t>Zastosowane w projekcie oprawy LED są zgodne z klasą oświetlenia drogi  i zapewnią bezpieczeństwo na dro</w:t>
      </w:r>
      <w:r w:rsidR="007E2AEB">
        <w:rPr>
          <w:rFonts w:ascii="Times New Roman" w:eastAsia="Calibri" w:hAnsi="Times New Roman" w:cs="Times New Roman"/>
          <w:sz w:val="24"/>
          <w:szCs w:val="24"/>
        </w:rPr>
        <w:t>dze</w:t>
      </w:r>
      <w:r w:rsidRPr="00765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5CF" w:rsidRPr="000855CF" w:rsidRDefault="000855CF" w:rsidP="000855C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8DC" w:rsidRDefault="001938DC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8DC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:rsidR="002F15A4" w:rsidRPr="002F15A4" w:rsidRDefault="002F15A4" w:rsidP="002F15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5A4">
        <w:rPr>
          <w:rFonts w:ascii="Times New Roman" w:eastAsia="Calibri" w:hAnsi="Times New Roman" w:cs="Times New Roman"/>
          <w:sz w:val="24"/>
          <w:szCs w:val="24"/>
        </w:rPr>
        <w:t>Proszę o dodanie do SIWZ więcej obowiązujących informacji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Norm na zamawiane i produkty w </w:t>
      </w:r>
      <w:r w:rsidRPr="002F15A4">
        <w:rPr>
          <w:rFonts w:ascii="Times New Roman" w:eastAsia="Calibri" w:hAnsi="Times New Roman" w:cs="Times New Roman"/>
          <w:sz w:val="24"/>
          <w:szCs w:val="24"/>
        </w:rPr>
        <w:t xml:space="preserve">opisach, w które ma zastosowane średnica minimalna mocowanie oraz uchwyt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mocujący lampę, a nie </w:t>
      </w:r>
      <w:r w:rsidRPr="002F15A4">
        <w:rPr>
          <w:rFonts w:ascii="Times New Roman" w:eastAsia="Calibri" w:hAnsi="Times New Roman" w:cs="Times New Roman"/>
          <w:sz w:val="24"/>
          <w:szCs w:val="24"/>
        </w:rPr>
        <w:t>zostały podane , i czy wymiany słupów i wysokości słupów po zmianach w projekcie zostały zaznaczone.</w:t>
      </w:r>
    </w:p>
    <w:p w:rsidR="00616829" w:rsidRDefault="00616829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6829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7657DF" w:rsidRPr="007657DF" w:rsidRDefault="007657DF" w:rsidP="007657D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dokumentacji projektowej nie było żadnych zmian. </w:t>
      </w:r>
      <w:r w:rsidRPr="007657DF">
        <w:rPr>
          <w:rFonts w:ascii="Times New Roman" w:eastAsia="Calibri" w:hAnsi="Times New Roman" w:cs="Times New Roman"/>
          <w:sz w:val="24"/>
          <w:szCs w:val="24"/>
        </w:rPr>
        <w:t>Wszystkie niezbędne informacje aby oświetlenie działało i spełniało swoją funkcję  zawarte są w PT.</w:t>
      </w: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F5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8677F5" w:rsidRPr="008677F5" w:rsidRDefault="008677F5" w:rsidP="008677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F5">
        <w:rPr>
          <w:rFonts w:ascii="Times New Roman" w:eastAsia="Calibri" w:hAnsi="Times New Roman" w:cs="Times New Roman"/>
          <w:sz w:val="24"/>
          <w:szCs w:val="24"/>
        </w:rPr>
        <w:t>Obowiązujące normy oświetlenia drogowego powinny zapewniać bezpieczeństwo osobom</w:t>
      </w:r>
    </w:p>
    <w:p w:rsidR="008677F5" w:rsidRPr="008677F5" w:rsidRDefault="008677F5" w:rsidP="008677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F5">
        <w:rPr>
          <w:rFonts w:ascii="Times New Roman" w:eastAsia="Calibri" w:hAnsi="Times New Roman" w:cs="Times New Roman"/>
          <w:sz w:val="24"/>
          <w:szCs w:val="24"/>
        </w:rPr>
        <w:t>poruszającym się po nich, oraz swobodę poruszania się wszystkim uczes</w:t>
      </w:r>
      <w:r>
        <w:rPr>
          <w:rFonts w:ascii="Times New Roman" w:eastAsia="Calibri" w:hAnsi="Times New Roman" w:cs="Times New Roman"/>
          <w:sz w:val="24"/>
          <w:szCs w:val="24"/>
        </w:rPr>
        <w:t xml:space="preserve">tników ruchu. nowych norm: PNEN </w:t>
      </w:r>
      <w:r w:rsidRPr="008677F5">
        <w:rPr>
          <w:rFonts w:ascii="Times New Roman" w:eastAsia="Calibri" w:hAnsi="Times New Roman" w:cs="Times New Roman"/>
          <w:sz w:val="24"/>
          <w:szCs w:val="24"/>
        </w:rPr>
        <w:t>13201-2 :2016-03 . Czy powinny być zachowane prawo własności inte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lektualnej i przemysłowej co do </w:t>
      </w:r>
      <w:r w:rsidRPr="008677F5">
        <w:rPr>
          <w:rFonts w:ascii="Times New Roman" w:eastAsia="Calibri" w:hAnsi="Times New Roman" w:cs="Times New Roman"/>
          <w:sz w:val="24"/>
          <w:szCs w:val="24"/>
        </w:rPr>
        <w:t>Diody Led i innych nowych technologii i zastosowań świetlnych zastos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owane w lampach Led, niniejszej </w:t>
      </w:r>
      <w:r w:rsidRPr="008677F5">
        <w:rPr>
          <w:rFonts w:ascii="Times New Roman" w:eastAsia="Calibri" w:hAnsi="Times New Roman" w:cs="Times New Roman"/>
          <w:sz w:val="24"/>
          <w:szCs w:val="24"/>
        </w:rPr>
        <w:t>zwalczaniu nieuczciwej konkurencji . Czy do analizy powinny służyły nast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ępujące akty prawne i dyrektywy </w:t>
      </w:r>
      <w:r w:rsidRPr="008677F5">
        <w:rPr>
          <w:rFonts w:ascii="Times New Roman" w:eastAsia="Calibri" w:hAnsi="Times New Roman" w:cs="Times New Roman"/>
          <w:sz w:val="24"/>
          <w:szCs w:val="24"/>
        </w:rPr>
        <w:t xml:space="preserve">EU i rozporządzenia oraz zgodnie z Ustawą 20 maj 2016 </w:t>
      </w:r>
      <w:proofErr w:type="spellStart"/>
      <w:r w:rsidRPr="008677F5">
        <w:rPr>
          <w:rFonts w:ascii="Times New Roman" w:eastAsia="Calibri" w:hAnsi="Times New Roman" w:cs="Times New Roman"/>
          <w:sz w:val="24"/>
          <w:szCs w:val="24"/>
        </w:rPr>
        <w:t>poz</w:t>
      </w:r>
      <w:proofErr w:type="spellEnd"/>
      <w:r w:rsidRPr="008677F5">
        <w:rPr>
          <w:rFonts w:ascii="Times New Roman" w:eastAsia="Calibri" w:hAnsi="Times New Roman" w:cs="Times New Roman"/>
          <w:sz w:val="24"/>
          <w:szCs w:val="24"/>
        </w:rPr>
        <w:t xml:space="preserve"> 831 Energe</w:t>
      </w:r>
      <w:r>
        <w:rPr>
          <w:rFonts w:ascii="Times New Roman" w:eastAsia="Calibri" w:hAnsi="Times New Roman" w:cs="Times New Roman"/>
          <w:sz w:val="24"/>
          <w:szCs w:val="24"/>
        </w:rPr>
        <w:t xml:space="preserve">tyczną o przeprowadzeniu audytu </w:t>
      </w:r>
      <w:r w:rsidRPr="008677F5">
        <w:rPr>
          <w:rFonts w:ascii="Times New Roman" w:eastAsia="Calibri" w:hAnsi="Times New Roman" w:cs="Times New Roman"/>
          <w:sz w:val="24"/>
          <w:szCs w:val="24"/>
        </w:rPr>
        <w:t xml:space="preserve">energetycznego zgodnie z , wynikający z art.4 ust.3 TUE oraz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art.7 Konstytucji RP, obowiązek </w:t>
      </w:r>
      <w:r w:rsidRPr="008677F5">
        <w:rPr>
          <w:rFonts w:ascii="Times New Roman" w:eastAsia="Calibri" w:hAnsi="Times New Roman" w:cs="Times New Roman"/>
          <w:sz w:val="24"/>
          <w:szCs w:val="24"/>
        </w:rPr>
        <w:t>respektowania zasad prawa unijnego przy wykonywaniu kompetencji pr</w:t>
      </w:r>
      <w:r>
        <w:rPr>
          <w:rFonts w:ascii="Times New Roman" w:eastAsia="Calibri" w:hAnsi="Times New Roman" w:cs="Times New Roman"/>
          <w:sz w:val="24"/>
          <w:szCs w:val="24"/>
        </w:rPr>
        <w:t xml:space="preserve">zewidzianych dla niego w ustawy </w:t>
      </w:r>
      <w:r w:rsidRPr="008677F5">
        <w:rPr>
          <w:rFonts w:ascii="Times New Roman" w:eastAsia="Calibri" w:hAnsi="Times New Roman" w:cs="Times New Roman"/>
          <w:sz w:val="24"/>
          <w:szCs w:val="24"/>
        </w:rPr>
        <w:t>Prawa własności intelektualnych, z zakresu własności przemysłowej.</w:t>
      </w: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F5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F20352" w:rsidRPr="00F20352" w:rsidRDefault="00F20352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352">
        <w:rPr>
          <w:rFonts w:ascii="Times New Roman" w:eastAsia="Calibri" w:hAnsi="Times New Roman" w:cs="Times New Roman"/>
          <w:sz w:val="24"/>
          <w:szCs w:val="24"/>
        </w:rPr>
        <w:t>Zastosowane w projekcie oprawy LED są zgodne z klasą oświetlenia drogi  i zapewnią bezpieczeństwo na dro</w:t>
      </w:r>
      <w:r w:rsidR="007E2AEB">
        <w:rPr>
          <w:rFonts w:ascii="Times New Roman" w:eastAsia="Calibri" w:hAnsi="Times New Roman" w:cs="Times New Roman"/>
          <w:sz w:val="24"/>
          <w:szCs w:val="24"/>
        </w:rPr>
        <w:t>dze</w:t>
      </w:r>
      <w:r w:rsidRPr="00F203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A0F" w:rsidRDefault="00097A0F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8677F5" w:rsidRPr="008677F5" w:rsidRDefault="008677F5" w:rsidP="008677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F5">
        <w:rPr>
          <w:rFonts w:ascii="Times New Roman" w:eastAsia="Calibri" w:hAnsi="Times New Roman" w:cs="Times New Roman"/>
          <w:sz w:val="24"/>
          <w:szCs w:val="24"/>
        </w:rPr>
        <w:t>Producent opraw oświetleniowych deklaruje zgodności z następującymi normami z zakresu</w:t>
      </w:r>
    </w:p>
    <w:p w:rsidR="008677F5" w:rsidRPr="008677F5" w:rsidRDefault="008677F5" w:rsidP="008677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F5">
        <w:rPr>
          <w:rFonts w:ascii="Times New Roman" w:eastAsia="Calibri" w:hAnsi="Times New Roman" w:cs="Times New Roman"/>
          <w:sz w:val="24"/>
          <w:szCs w:val="24"/>
        </w:rPr>
        <w:t>bezpieczeństwa użytkowania: Obecnie, na terenie UE obowiązują normy</w:t>
      </w:r>
      <w:r w:rsidR="00DF5375">
        <w:rPr>
          <w:rFonts w:ascii="Times New Roman" w:eastAsia="Calibri" w:hAnsi="Times New Roman" w:cs="Times New Roman"/>
          <w:sz w:val="24"/>
          <w:szCs w:val="24"/>
        </w:rPr>
        <w:t xml:space="preserve"> bezpieczeństwa IEC oraz wymogi </w:t>
      </w:r>
      <w:r w:rsidRPr="008677F5">
        <w:rPr>
          <w:rFonts w:ascii="Times New Roman" w:eastAsia="Calibri" w:hAnsi="Times New Roman" w:cs="Times New Roman"/>
          <w:sz w:val="24"/>
          <w:szCs w:val="24"/>
        </w:rPr>
        <w:t>bezpieczeństwa PNEN 60061, PN-EN 60598, PN-EN 61347, EN 62031, PN</w:t>
      </w:r>
      <w:r>
        <w:rPr>
          <w:rFonts w:ascii="Times New Roman" w:eastAsia="Calibri" w:hAnsi="Times New Roman" w:cs="Times New Roman"/>
          <w:sz w:val="24"/>
          <w:szCs w:val="24"/>
        </w:rPr>
        <w:t>-EN 62471, PN-EN 62560 i PN- EN</w:t>
      </w:r>
      <w:r w:rsidRPr="008677F5">
        <w:rPr>
          <w:rFonts w:ascii="Times New Roman" w:eastAsia="Calibri" w:hAnsi="Times New Roman" w:cs="Times New Roman"/>
          <w:sz w:val="24"/>
          <w:szCs w:val="24"/>
        </w:rPr>
        <w:t>62663-1. Przepisy te są ujęte w licznych Rozporządzeniach i Dyrektywa</w:t>
      </w:r>
      <w:r>
        <w:rPr>
          <w:rFonts w:ascii="Times New Roman" w:eastAsia="Calibri" w:hAnsi="Times New Roman" w:cs="Times New Roman"/>
          <w:sz w:val="24"/>
          <w:szCs w:val="24"/>
        </w:rPr>
        <w:t xml:space="preserve">ch UE, m.in. w sprawie urządzeń </w:t>
      </w:r>
      <w:r w:rsidRPr="008677F5">
        <w:rPr>
          <w:rFonts w:ascii="Times New Roman" w:eastAsia="Calibri" w:hAnsi="Times New Roman" w:cs="Times New Roman"/>
          <w:sz w:val="24"/>
          <w:szCs w:val="24"/>
        </w:rPr>
        <w:t>obrotu towarami wrażliwych i bezpieczeństw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677F5">
        <w:rPr>
          <w:rFonts w:ascii="Times New Roman" w:eastAsia="Calibri" w:hAnsi="Times New Roman" w:cs="Times New Roman"/>
          <w:sz w:val="24"/>
          <w:szCs w:val="24"/>
        </w:rPr>
        <w:t xml:space="preserve"> technicznego i niskonapięciowych i kompatybilności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7F5">
        <w:rPr>
          <w:rFonts w:ascii="Times New Roman" w:eastAsia="Calibri" w:hAnsi="Times New Roman" w:cs="Times New Roman"/>
          <w:sz w:val="24"/>
          <w:szCs w:val="24"/>
        </w:rPr>
        <w:t>elektromagnetycznej oraz w przepisach (</w:t>
      </w:r>
      <w:proofErr w:type="spellStart"/>
      <w:r w:rsidRPr="008677F5">
        <w:rPr>
          <w:rFonts w:ascii="Times New Roman" w:eastAsia="Calibri" w:hAnsi="Times New Roman" w:cs="Times New Roman"/>
          <w:sz w:val="24"/>
          <w:szCs w:val="24"/>
        </w:rPr>
        <w:t>ekoprojekt</w:t>
      </w:r>
      <w:proofErr w:type="spellEnd"/>
      <w:r w:rsidRPr="008677F5">
        <w:rPr>
          <w:rFonts w:ascii="Times New Roman" w:eastAsia="Calibri" w:hAnsi="Times New Roman" w:cs="Times New Roman"/>
          <w:sz w:val="24"/>
          <w:szCs w:val="24"/>
        </w:rPr>
        <w:t>). Gdzie warunkiem zapewniającym zgodność jest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7F5">
        <w:rPr>
          <w:rFonts w:ascii="Times New Roman" w:eastAsia="Calibri" w:hAnsi="Times New Roman" w:cs="Times New Roman"/>
          <w:sz w:val="24"/>
          <w:szCs w:val="24"/>
        </w:rPr>
        <w:t>posiadanie znaku CE przez produkty LED odnoszą się do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opejskiej Bazy Danych Produktów </w:t>
      </w:r>
      <w:r w:rsidRPr="008677F5">
        <w:rPr>
          <w:rFonts w:ascii="Times New Roman" w:eastAsia="Calibri" w:hAnsi="Times New Roman" w:cs="Times New Roman"/>
          <w:sz w:val="24"/>
          <w:szCs w:val="24"/>
        </w:rPr>
        <w:t>dotyczących Etykietowania Energii.</w:t>
      </w: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F5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F20352" w:rsidRPr="00F20352" w:rsidRDefault="00F20352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352">
        <w:rPr>
          <w:rFonts w:ascii="Times New Roman" w:eastAsia="Calibri" w:hAnsi="Times New Roman" w:cs="Times New Roman"/>
          <w:sz w:val="24"/>
          <w:szCs w:val="24"/>
        </w:rPr>
        <w:t>Jeżeli oprawa oświetleniowa nie posiada znaku CE nie może być zainstalowana. Należy zainstalować oprawę oświetleniową ze znakiem CE o parametrach podanych w projekcie.</w:t>
      </w: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F5">
        <w:rPr>
          <w:rFonts w:ascii="Times New Roman" w:eastAsia="Calibri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8677F5" w:rsidRPr="008677F5" w:rsidRDefault="008677F5" w:rsidP="008677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Czy jest okreś</w:t>
      </w:r>
      <w:r w:rsidRPr="008677F5">
        <w:rPr>
          <w:rFonts w:ascii="Times New Roman" w:eastAsia="Calibri" w:hAnsi="Times New Roman" w:cs="Times New Roman"/>
          <w:sz w:val="24"/>
          <w:szCs w:val="24"/>
        </w:rPr>
        <w:t>lone życia produktu finansowego i warunki dotycząc</w:t>
      </w:r>
      <w:r>
        <w:rPr>
          <w:rFonts w:ascii="Times New Roman" w:eastAsia="Calibri" w:hAnsi="Times New Roman" w:cs="Times New Roman"/>
          <w:sz w:val="24"/>
          <w:szCs w:val="24"/>
        </w:rPr>
        <w:t xml:space="preserve">e jego likwidacji określa się w </w:t>
      </w:r>
      <w:r w:rsidRPr="008677F5">
        <w:rPr>
          <w:rFonts w:ascii="Times New Roman" w:eastAsia="Calibri" w:hAnsi="Times New Roman" w:cs="Times New Roman"/>
          <w:sz w:val="24"/>
          <w:szCs w:val="24"/>
        </w:rPr>
        <w:t>umowie w sprawie gwarancji. W stosownych przypadkach w ramach p</w:t>
      </w:r>
      <w:r>
        <w:rPr>
          <w:rFonts w:ascii="Times New Roman" w:eastAsia="Calibri" w:hAnsi="Times New Roman" w:cs="Times New Roman"/>
          <w:sz w:val="24"/>
          <w:szCs w:val="24"/>
        </w:rPr>
        <w:t xml:space="preserve">roduktu finansowego na poziomie </w:t>
      </w:r>
      <w:r w:rsidRPr="008677F5">
        <w:rPr>
          <w:rFonts w:ascii="Times New Roman" w:eastAsia="Calibri" w:hAnsi="Times New Roman" w:cs="Times New Roman"/>
          <w:sz w:val="24"/>
          <w:szCs w:val="24"/>
        </w:rPr>
        <w:t>operacji z zakresu finansowania lub inwestycji można przewidzieć moż</w:t>
      </w:r>
      <w:r>
        <w:rPr>
          <w:rFonts w:ascii="Times New Roman" w:eastAsia="Calibri" w:hAnsi="Times New Roman" w:cs="Times New Roman"/>
          <w:sz w:val="24"/>
          <w:szCs w:val="24"/>
        </w:rPr>
        <w:t xml:space="preserve">liwość wyjścia z inwestycji lub </w:t>
      </w:r>
      <w:r w:rsidRPr="008677F5">
        <w:rPr>
          <w:rFonts w:ascii="Times New Roman" w:eastAsia="Calibri" w:hAnsi="Times New Roman" w:cs="Times New Roman"/>
          <w:sz w:val="24"/>
          <w:szCs w:val="24"/>
        </w:rPr>
        <w:t>zbycia ekspozycji przed końcem okresu życia inwestycji bazowych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F5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7E2AEB" w:rsidRPr="007E2AEB" w:rsidRDefault="007E2AEB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wymaga min. okresu gwarancji 36 miesięcy.</w:t>
      </w: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F5">
        <w:rPr>
          <w:rFonts w:ascii="Times New Roman" w:eastAsia="Calibri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8677F5" w:rsidRPr="008677F5" w:rsidRDefault="008677F5" w:rsidP="008677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F5">
        <w:rPr>
          <w:rFonts w:ascii="Times New Roman" w:eastAsia="Calibri" w:hAnsi="Times New Roman" w:cs="Times New Roman"/>
          <w:sz w:val="24"/>
          <w:szCs w:val="24"/>
        </w:rPr>
        <w:t>Brak jest opisów ogólnych lampy i ich wielkości uchwytu i mocowania , jest niedopuszczalne</w:t>
      </w:r>
    </w:p>
    <w:p w:rsidR="008677F5" w:rsidRPr="008677F5" w:rsidRDefault="008677F5" w:rsidP="008677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F5">
        <w:rPr>
          <w:rFonts w:ascii="Times New Roman" w:eastAsia="Calibri" w:hAnsi="Times New Roman" w:cs="Times New Roman"/>
          <w:sz w:val="24"/>
          <w:szCs w:val="24"/>
        </w:rPr>
        <w:t>podawanie nazw opraw , powinna być podana charakterystyka i no</w:t>
      </w:r>
      <w:r>
        <w:rPr>
          <w:rFonts w:ascii="Times New Roman" w:eastAsia="Calibri" w:hAnsi="Times New Roman" w:cs="Times New Roman"/>
          <w:sz w:val="24"/>
          <w:szCs w:val="24"/>
        </w:rPr>
        <w:t xml:space="preserve">rmy minimum powyżej 110 lumenów </w:t>
      </w:r>
      <w:r w:rsidRPr="008677F5">
        <w:rPr>
          <w:rFonts w:ascii="Times New Roman" w:eastAsia="Calibri" w:hAnsi="Times New Roman" w:cs="Times New Roman"/>
          <w:sz w:val="24"/>
          <w:szCs w:val="24"/>
        </w:rPr>
        <w:t>1W netto, według zamienników światła sodowego na Led, któr</w:t>
      </w:r>
      <w:r>
        <w:rPr>
          <w:rFonts w:ascii="Times New Roman" w:eastAsia="Calibri" w:hAnsi="Times New Roman" w:cs="Times New Roman"/>
          <w:sz w:val="24"/>
          <w:szCs w:val="24"/>
        </w:rPr>
        <w:t xml:space="preserve">e mogą ukierunkować wykonawcę i </w:t>
      </w:r>
      <w:r w:rsidRPr="008677F5">
        <w:rPr>
          <w:rFonts w:ascii="Times New Roman" w:eastAsia="Calibri" w:hAnsi="Times New Roman" w:cs="Times New Roman"/>
          <w:sz w:val="24"/>
          <w:szCs w:val="24"/>
        </w:rPr>
        <w:t>inwestora jakie produkty przedstawić do rzetelnej przygotowanej wyce</w:t>
      </w:r>
      <w:r>
        <w:rPr>
          <w:rFonts w:ascii="Times New Roman" w:eastAsia="Calibri" w:hAnsi="Times New Roman" w:cs="Times New Roman"/>
          <w:sz w:val="24"/>
          <w:szCs w:val="24"/>
        </w:rPr>
        <w:t xml:space="preserve">ny dostosowując się do polityki </w:t>
      </w:r>
      <w:r w:rsidRPr="008677F5">
        <w:rPr>
          <w:rFonts w:ascii="Times New Roman" w:eastAsia="Calibri" w:hAnsi="Times New Roman" w:cs="Times New Roman"/>
          <w:sz w:val="24"/>
          <w:szCs w:val="24"/>
        </w:rPr>
        <w:t>klimatycznej z zachowaniem strategii niskoemisyjnej rozwoju. Oraz wska</w:t>
      </w:r>
      <w:r>
        <w:rPr>
          <w:rFonts w:ascii="Times New Roman" w:eastAsia="Calibri" w:hAnsi="Times New Roman" w:cs="Times New Roman"/>
          <w:sz w:val="24"/>
          <w:szCs w:val="24"/>
        </w:rPr>
        <w:t xml:space="preserve">zanie jego badań i finansowania </w:t>
      </w:r>
      <w:r w:rsidRPr="008677F5">
        <w:rPr>
          <w:rFonts w:ascii="Times New Roman" w:eastAsia="Calibri" w:hAnsi="Times New Roman" w:cs="Times New Roman"/>
          <w:sz w:val="24"/>
          <w:szCs w:val="24"/>
        </w:rPr>
        <w:t xml:space="preserve">zgodnie z Rozporządzenie Parlamentu Europejskiego i Rady (UE, </w:t>
      </w:r>
      <w:proofErr w:type="spellStart"/>
      <w:r w:rsidRPr="008677F5">
        <w:rPr>
          <w:rFonts w:ascii="Times New Roman" w:eastAsia="Calibri" w:hAnsi="Times New Roman" w:cs="Times New Roman"/>
          <w:sz w:val="24"/>
          <w:szCs w:val="24"/>
        </w:rPr>
        <w:t>Eur</w:t>
      </w:r>
      <w:r>
        <w:rPr>
          <w:rFonts w:ascii="Times New Roman" w:eastAsia="Calibri" w:hAnsi="Times New Roman" w:cs="Times New Roman"/>
          <w:sz w:val="24"/>
          <w:szCs w:val="24"/>
        </w:rPr>
        <w:t>atom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2018/1046 z dnia 18 lipca </w:t>
      </w:r>
      <w:r w:rsidRPr="008677F5">
        <w:rPr>
          <w:rFonts w:ascii="Times New Roman" w:eastAsia="Calibri" w:hAnsi="Times New Roman" w:cs="Times New Roman"/>
          <w:sz w:val="24"/>
          <w:szCs w:val="24"/>
        </w:rPr>
        <w:t>2018 r. w sprawie zasad finansowych mających zastos</w:t>
      </w:r>
      <w:r>
        <w:rPr>
          <w:rFonts w:ascii="Times New Roman" w:eastAsia="Calibri" w:hAnsi="Times New Roman" w:cs="Times New Roman"/>
          <w:sz w:val="24"/>
          <w:szCs w:val="24"/>
        </w:rPr>
        <w:t>owanie do budżetu ogólnego Unii.</w:t>
      </w: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F5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7657DF" w:rsidRDefault="001B018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657DF" w:rsidRPr="007657DF">
        <w:rPr>
          <w:rFonts w:ascii="Times New Roman" w:eastAsia="Calibri" w:hAnsi="Times New Roman" w:cs="Times New Roman"/>
          <w:sz w:val="24"/>
          <w:szCs w:val="24"/>
        </w:rPr>
        <w:t>arametry podano jako minimalne dla opraw i słupów. Wykonawca może stosować wyroby o wyższych parametrach dających wysoki poziom trwałości, niezawodności.</w:t>
      </w:r>
    </w:p>
    <w:p w:rsidR="007657DF" w:rsidRPr="007657DF" w:rsidRDefault="007657DF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A0F" w:rsidRDefault="00097A0F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7A0F" w:rsidRDefault="00097A0F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Pytanie nr 7</w:t>
      </w:r>
    </w:p>
    <w:p w:rsidR="008677F5" w:rsidRPr="008677F5" w:rsidRDefault="008677F5" w:rsidP="008677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F5">
        <w:rPr>
          <w:rFonts w:ascii="Times New Roman" w:eastAsia="Calibri" w:hAnsi="Times New Roman" w:cs="Times New Roman"/>
          <w:sz w:val="24"/>
          <w:szCs w:val="24"/>
        </w:rPr>
        <w:t>Jaki jest cel segmentu zrównoważonej infrastruktury jest wspieranie op</w:t>
      </w:r>
      <w:r>
        <w:rPr>
          <w:rFonts w:ascii="Times New Roman" w:eastAsia="Calibri" w:hAnsi="Times New Roman" w:cs="Times New Roman"/>
          <w:sz w:val="24"/>
          <w:szCs w:val="24"/>
        </w:rPr>
        <w:t xml:space="preserve">eracji z zakresu finansowania i </w:t>
      </w:r>
      <w:r w:rsidRPr="008677F5">
        <w:rPr>
          <w:rFonts w:ascii="Times New Roman" w:eastAsia="Calibri" w:hAnsi="Times New Roman" w:cs="Times New Roman"/>
          <w:sz w:val="24"/>
          <w:szCs w:val="24"/>
        </w:rPr>
        <w:t>inwestycji w zrównoważoną infrastrukturę w dziedzinach, o który</w:t>
      </w:r>
      <w:r>
        <w:rPr>
          <w:rFonts w:ascii="Times New Roman" w:eastAsia="Calibri" w:hAnsi="Times New Roman" w:cs="Times New Roman"/>
          <w:sz w:val="24"/>
          <w:szCs w:val="24"/>
        </w:rPr>
        <w:t xml:space="preserve">ch mowa w art. 8 ust. 1 lit. a) </w:t>
      </w:r>
      <w:r w:rsidRPr="008677F5">
        <w:rPr>
          <w:rFonts w:ascii="Times New Roman" w:eastAsia="Calibri" w:hAnsi="Times New Roman" w:cs="Times New Roman"/>
          <w:sz w:val="24"/>
          <w:szCs w:val="24"/>
        </w:rPr>
        <w:t xml:space="preserve">rozporządzenia w sprawie </w:t>
      </w:r>
      <w:proofErr w:type="spellStart"/>
      <w:r w:rsidRPr="008677F5">
        <w:rPr>
          <w:rFonts w:ascii="Times New Roman" w:eastAsia="Calibri" w:hAnsi="Times New Roman" w:cs="Times New Roman"/>
          <w:sz w:val="24"/>
          <w:szCs w:val="24"/>
        </w:rPr>
        <w:t>InvestEU</w:t>
      </w:r>
      <w:proofErr w:type="spellEnd"/>
      <w:r w:rsidRPr="008677F5">
        <w:rPr>
          <w:rFonts w:ascii="Times New Roman" w:eastAsia="Calibri" w:hAnsi="Times New Roman" w:cs="Times New Roman"/>
          <w:sz w:val="24"/>
          <w:szCs w:val="24"/>
        </w:rPr>
        <w:t>. Nie naruszając przepisów dotycząc</w:t>
      </w:r>
      <w:r>
        <w:rPr>
          <w:rFonts w:ascii="Times New Roman" w:eastAsia="Calibri" w:hAnsi="Times New Roman" w:cs="Times New Roman"/>
          <w:sz w:val="24"/>
          <w:szCs w:val="24"/>
        </w:rPr>
        <w:t xml:space="preserve">ych działań wyłączonych (sekcja </w:t>
      </w:r>
      <w:r w:rsidRPr="008677F5">
        <w:rPr>
          <w:rFonts w:ascii="Times New Roman" w:eastAsia="Calibri" w:hAnsi="Times New Roman" w:cs="Times New Roman"/>
          <w:sz w:val="24"/>
          <w:szCs w:val="24"/>
        </w:rPr>
        <w:t>2.3.3 niniejszych wytycznych inwestycyjnych) oraz zasad przydz</w:t>
      </w:r>
      <w:r>
        <w:rPr>
          <w:rFonts w:ascii="Times New Roman" w:eastAsia="Calibri" w:hAnsi="Times New Roman" w:cs="Times New Roman"/>
          <w:sz w:val="24"/>
          <w:szCs w:val="24"/>
        </w:rPr>
        <w:t xml:space="preserve">iału w ramach Funduszu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InvestEU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7F5">
        <w:rPr>
          <w:rFonts w:ascii="Times New Roman" w:eastAsia="Calibri" w:hAnsi="Times New Roman" w:cs="Times New Roman"/>
          <w:sz w:val="24"/>
          <w:szCs w:val="24"/>
        </w:rPr>
        <w:t>określonych w sekcji 2.6, każdy właściwy obszar związany ze zrównoważ</w:t>
      </w:r>
      <w:r>
        <w:rPr>
          <w:rFonts w:ascii="Times New Roman" w:eastAsia="Calibri" w:hAnsi="Times New Roman" w:cs="Times New Roman"/>
          <w:sz w:val="24"/>
          <w:szCs w:val="24"/>
        </w:rPr>
        <w:t xml:space="preserve">oną infrastrukturą wymieniony w </w:t>
      </w:r>
      <w:r w:rsidRPr="008677F5">
        <w:rPr>
          <w:rFonts w:ascii="Times New Roman" w:eastAsia="Calibri" w:hAnsi="Times New Roman" w:cs="Times New Roman"/>
          <w:sz w:val="24"/>
          <w:szCs w:val="24"/>
        </w:rPr>
        <w:t xml:space="preserve">załączniku II do rozporządzenia w sprawie </w:t>
      </w:r>
      <w:proofErr w:type="spellStart"/>
      <w:r w:rsidRPr="008677F5">
        <w:rPr>
          <w:rFonts w:ascii="Times New Roman" w:eastAsia="Calibri" w:hAnsi="Times New Roman" w:cs="Times New Roman"/>
          <w:sz w:val="24"/>
          <w:szCs w:val="24"/>
        </w:rPr>
        <w:t>InvestEU</w:t>
      </w:r>
      <w:proofErr w:type="spellEnd"/>
      <w:r w:rsidRPr="008677F5">
        <w:rPr>
          <w:rFonts w:ascii="Times New Roman" w:eastAsia="Calibri" w:hAnsi="Times New Roman" w:cs="Times New Roman"/>
          <w:sz w:val="24"/>
          <w:szCs w:val="24"/>
        </w:rPr>
        <w:t xml:space="preserve"> kwalifikuje się do wsparcia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ramach segmentu </w:t>
      </w:r>
      <w:r w:rsidRPr="008677F5">
        <w:rPr>
          <w:rFonts w:ascii="Times New Roman" w:eastAsia="Calibri" w:hAnsi="Times New Roman" w:cs="Times New Roman"/>
          <w:sz w:val="24"/>
          <w:szCs w:val="24"/>
        </w:rPr>
        <w:t>polityki dotyczącego zrównoważonej infrastruktury</w:t>
      </w: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F5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885C12" w:rsidRPr="00885C12" w:rsidRDefault="00885C12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Budowę drogi z oświetleniem, Zamawiający finansuje ze środków własnych.</w:t>
      </w:r>
    </w:p>
    <w:p w:rsidR="008677F5" w:rsidRDefault="008677F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Pytanie nr 8</w:t>
      </w:r>
    </w:p>
    <w:p w:rsidR="008677F5" w:rsidRDefault="00DF537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5375">
        <w:rPr>
          <w:rFonts w:ascii="Times New Roman" w:eastAsia="Calibri" w:hAnsi="Times New Roman" w:cs="Times New Roman"/>
          <w:sz w:val="24"/>
          <w:szCs w:val="24"/>
        </w:rPr>
        <w:t xml:space="preserve">Czy wszystkie oprawy LED  powinny spełniać niezbędne wytyczne zarówno co do sprzętu jak i jego znakowania. Niniejsza informacja zawiera wytyczne dotyczące zasad klasyfikacji sprzętu elektrycznego i ustawą. Zgodnie z ustawą z dnia 20 maja 2016 o efektywności  energetycznej .                                                                 Wsparcie w ramach efektywności energetycznej i oszczędności energii będzie obejmować projekty zgodne z zobowiązaniami Unii podjętymi w ramach Agendy 2030 i porozumienia paryskiego oraz przyczyniać się do realizacji celów określonych w dyrektywie 2012/27/UE ( 63) (ograniczenie zapotrzebowania na energię za pomocą środków służących oszczędzaniu energii oraz zarządzania popytem, stosowanie zasad gospodarki o obiegu zamkniętym, wspieranie systemu ciepłowniczego i produkcji energii w projektach kogeneracji, które ograniczają zużycie energii oraz zapobiegają emisji gazów cieplarnianych i innych zanieczyszczeń). Wsparcie będzie obejmować projekty zgodne z inicjatywą „Fala renowacji” ( 64), w szczególności z trzema obszarami, na których inicjatywa ta się koncentruje: rozwiązanie problemu ubóstwa energetycznego i budynków o najgorszej charakterystyce energetycznej; renowacja budynków publicznych, takich jak placówki administracyjne, edukacyjne i opieki zdrowotnej, oraz obniżenie emisyjności ogrzewania i chłodzenia. Należy wspierać projekty modernizujące systemy ogrzewania i chłodzenia budynków, ponieważ mają one zasadnicze znaczenie dla dekarbonizacji zasobów budowlanych w UE. Wykorzystanie lokalnego potencjału energii odnawialnej ma również kluczowe znaczenie dla zmniejszenia zależności UE od importowanych paliw kopalnych. Wsparcie to będzie obejmować także renowację istniejących budynków pod kątem efektywności energetyczne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przykładowo :Temperatura barwowa emitowanego światła 4000k (+/-100K) o Współczynnik oddawania barw RA większy lub równy 70 o Panel LED . Wyposażony w grupę soczewek kształtujących rozsyłu  światła o charakterze drogowym, która nie </w:t>
      </w:r>
      <w:r w:rsidR="00D01742">
        <w:rPr>
          <w:rFonts w:ascii="Times New Roman" w:eastAsia="Calibri" w:hAnsi="Times New Roman" w:cs="Times New Roman"/>
          <w:sz w:val="24"/>
          <w:szCs w:val="24"/>
        </w:rPr>
        <w:t xml:space="preserve">oślepia kierowcy i nie </w:t>
      </w:r>
      <w:r w:rsidR="00D01742">
        <w:rPr>
          <w:rFonts w:ascii="Times New Roman" w:eastAsia="Calibri" w:hAnsi="Times New Roman" w:cs="Times New Roman"/>
          <w:sz w:val="24"/>
          <w:szCs w:val="24"/>
        </w:rPr>
        <w:lastRenderedPageBreak/>
        <w:t>powoduje odbicia światła od jezdni</w:t>
      </w:r>
      <w:r w:rsidRPr="00DF5375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Każda dioda na panelu LED posiada indywidualny element optyczny o takiej samej charakterystyce.                   W  przepisach przewidziany  jest układ redukcji mocy , który powinien być stosowany  według przepisów w  lampach oświetleniowych,  ma umożliwiać płynne nastawienie kilku   progów natężenia oświetlenia świetlneg</w:t>
      </w:r>
      <w:r w:rsidR="00D01742">
        <w:rPr>
          <w:rFonts w:ascii="Times New Roman" w:eastAsia="Calibri" w:hAnsi="Times New Roman" w:cs="Times New Roman"/>
          <w:sz w:val="24"/>
          <w:szCs w:val="24"/>
        </w:rPr>
        <w:t xml:space="preserve">o w zakresie co najmniej od 100-30% </w:t>
      </w:r>
      <w:r w:rsidRPr="00DF5375">
        <w:rPr>
          <w:rFonts w:ascii="Times New Roman" w:eastAsia="Calibri" w:hAnsi="Times New Roman" w:cs="Times New Roman"/>
          <w:sz w:val="24"/>
          <w:szCs w:val="24"/>
        </w:rPr>
        <w:t>strumi</w:t>
      </w:r>
      <w:r w:rsidR="00D01742">
        <w:rPr>
          <w:rFonts w:ascii="Times New Roman" w:eastAsia="Calibri" w:hAnsi="Times New Roman" w:cs="Times New Roman"/>
          <w:sz w:val="24"/>
          <w:szCs w:val="24"/>
        </w:rPr>
        <w:t xml:space="preserve">enia </w:t>
      </w:r>
      <w:r w:rsidRPr="00DF5375">
        <w:rPr>
          <w:rFonts w:ascii="Times New Roman" w:eastAsia="Calibri" w:hAnsi="Times New Roman" w:cs="Times New Roman"/>
          <w:sz w:val="24"/>
          <w:szCs w:val="24"/>
        </w:rPr>
        <w:t>nominalnego</w:t>
      </w:r>
      <w:r w:rsidR="00D01742">
        <w:rPr>
          <w:rFonts w:ascii="Times New Roman" w:eastAsia="Calibri" w:hAnsi="Times New Roman" w:cs="Times New Roman"/>
          <w:sz w:val="24"/>
          <w:szCs w:val="24"/>
        </w:rPr>
        <w:t>.</w:t>
      </w:r>
      <w:r w:rsidRPr="00DF53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* Jaka powinna być Temperatura pracy w zakresie -40 + 50 stopni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77F5" w:rsidRPr="008677F5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1B0185" w:rsidRPr="001B0185" w:rsidRDefault="00B15044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odstępuje od zastosowania inteligentnego sterowania oświetleniem ulicznym</w:t>
      </w:r>
      <w:r w:rsidR="00097A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5375" w:rsidRDefault="00DF537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5375">
        <w:rPr>
          <w:rFonts w:ascii="Times New Roman" w:eastAsia="Calibri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DF5375" w:rsidRDefault="00DF537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375">
        <w:rPr>
          <w:rFonts w:ascii="Times New Roman" w:eastAsia="Calibri" w:hAnsi="Times New Roman" w:cs="Times New Roman"/>
          <w:sz w:val="24"/>
          <w:szCs w:val="24"/>
        </w:rPr>
        <w:t xml:space="preserve">Jak jest przewidziany rozwój zrównoważonej infrastruktur y transport owej oraz tworzenie rozwiązań w zakresie urządzeń i innowacyjnych technologii Wsparcie w ramach rozwoju zrównoważonej infrastruktury transportowej oraz tworzenia rozwiązań w zakresie urządzeń i innowacyjnych technologii będzie ukierunkowywane na rozwój zrównoważonej i bezpiecznej infrastruktury transportowej, </w:t>
      </w:r>
      <w:proofErr w:type="spellStart"/>
      <w:r w:rsidRPr="00DF5375">
        <w:rPr>
          <w:rFonts w:ascii="Times New Roman" w:eastAsia="Calibri" w:hAnsi="Times New Roman" w:cs="Times New Roman"/>
          <w:sz w:val="24"/>
          <w:szCs w:val="24"/>
        </w:rPr>
        <w:t>suprastruktur</w:t>
      </w:r>
      <w:proofErr w:type="spellEnd"/>
      <w:r w:rsidRPr="00DF5375">
        <w:rPr>
          <w:rFonts w:ascii="Times New Roman" w:eastAsia="Calibri" w:hAnsi="Times New Roman" w:cs="Times New Roman"/>
          <w:sz w:val="24"/>
          <w:szCs w:val="24"/>
        </w:rPr>
        <w:t>, rozwiązań i sprzętu służących mobilności, a także innowacyjnych technologii, zgodnie z priorytetami Unii w zakresie transportu, strategią na rzecz zrównoważonej i inteligentnej mobilności ( 69) oraz z zobowiązaniami podjętymi na mocy porozumienia paryskiego. Wsparcie to będzie obejmować projekty wspierające rozwój infrastruktury transeuropejskiej sieci transportowej („TEN-T”), remonty i modernizację istniejącej infrastruktury i komponentów poziomu połączeń międzysystemowych we wszystkich rodzajach transportu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5375" w:rsidRDefault="00DF537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5375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D01742" w:rsidRPr="00D01742" w:rsidRDefault="00D01742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dotyczy przedmiotu zamówienia.</w:t>
      </w:r>
    </w:p>
    <w:p w:rsidR="00DF5375" w:rsidRDefault="00DF537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Pytanie nr 10</w:t>
      </w:r>
    </w:p>
    <w:p w:rsidR="00DF5375" w:rsidRDefault="00DF537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375">
        <w:rPr>
          <w:rFonts w:ascii="Times New Roman" w:eastAsia="Calibri" w:hAnsi="Times New Roman" w:cs="Times New Roman"/>
          <w:sz w:val="24"/>
          <w:szCs w:val="24"/>
        </w:rPr>
        <w:t xml:space="preserve">Czy wspieranie rozwoju zrównoważonej i bezpiecznej infrastruktury łączności cyfrowej musi koncentrować się na projektach wspierających szeroki zakres produktów i usług w dziedzinie komunikacji i technologii informacyjnej. Takie wsparcie może obejmować na przykład projekty wspierające uniwersalne (tj. obejmujące obszary wiejskie/peryferyjne) uruchamianie infrastruktury, wdrażanie cyfrowych sieci o bardzo dużej przepustowości, w tym poprzez wdrażanie przewodowych i bezprzewodowych systemów łączności, m.in. systemów światłowodowych i systemów łączności 5G, oraz inwestycje niezbędne w celu osiągnięcia unijnych strategicznych celów łączności cyfrowej zdefiniowanych w komunikacie „Łączność dla konkurencyjnego jednolitego rynku cyfrowego . </w:t>
      </w:r>
      <w:proofErr w:type="spellStart"/>
      <w:r w:rsidRPr="00DF5375">
        <w:rPr>
          <w:rFonts w:ascii="Times New Roman" w:eastAsia="Calibri" w:hAnsi="Times New Roman" w:cs="Times New Roman"/>
          <w:sz w:val="24"/>
          <w:szCs w:val="24"/>
        </w:rPr>
        <w:t>arcie</w:t>
      </w:r>
      <w:proofErr w:type="spellEnd"/>
      <w:r w:rsidRPr="00DF5375">
        <w:rPr>
          <w:rFonts w:ascii="Times New Roman" w:eastAsia="Calibri" w:hAnsi="Times New Roman" w:cs="Times New Roman"/>
          <w:sz w:val="24"/>
          <w:szCs w:val="24"/>
        </w:rPr>
        <w:t xml:space="preserve"> to będzie ukierunkowane także na projekty mające na celu zwiększenie zdolności i odporności unijnych sieci (np. zabezpieczonych kwantowo sieci komunikacyjnych, międzyregionalnej i międzynarodowej </w:t>
      </w:r>
      <w:r w:rsidRPr="00DF5375">
        <w:rPr>
          <w:rFonts w:ascii="Times New Roman" w:eastAsia="Calibri" w:hAnsi="Times New Roman" w:cs="Times New Roman"/>
          <w:sz w:val="24"/>
          <w:szCs w:val="24"/>
        </w:rPr>
        <w:lastRenderedPageBreak/>
        <w:t>łączności, m.in. za pomocą kabli lądowych i podmorskich, systemów satelitarnych, ośrodków przetwarzania danych oraz sieci ochrony publicznej i pomocy w przypadku klęsk żywiołowych) oraz wspieranie transformacji cyfrowej najważniejszych usług publicznych.</w:t>
      </w:r>
    </w:p>
    <w:p w:rsidR="00DF5375" w:rsidRDefault="00DF5375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5375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D01742" w:rsidRPr="00D01742" w:rsidRDefault="00D01742" w:rsidP="001938D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742">
        <w:rPr>
          <w:rFonts w:ascii="Times New Roman" w:eastAsia="Calibri" w:hAnsi="Times New Roman" w:cs="Times New Roman"/>
          <w:sz w:val="24"/>
          <w:szCs w:val="24"/>
        </w:rPr>
        <w:t>Nie dotyczy przedmiotu zamówienia.</w:t>
      </w:r>
    </w:p>
    <w:p w:rsidR="00EF7F22" w:rsidRPr="00EF7F22" w:rsidRDefault="00EF7F22" w:rsidP="00EF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767" w:rsidRDefault="00882767" w:rsidP="0077137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69" w:rsidRDefault="00A85564" w:rsidP="002C2AB6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Prezydent Miasta Żyrardowa</w:t>
      </w:r>
    </w:p>
    <w:p w:rsidR="00771375" w:rsidRPr="006E08D1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Krzysztof Chrzanowski</w:t>
      </w:r>
      <w:r w:rsidR="007713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1375" w:rsidRPr="006E08D1" w:rsidSect="00A566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699"/>
      <w:docPartObj>
        <w:docPartGallery w:val="Page Numbers (Bottom of Page)"/>
        <w:docPartUnique/>
      </w:docPartObj>
    </w:sdtPr>
    <w:sdtEndPr/>
    <w:sdtContent>
      <w:p w:rsidR="00963DC6" w:rsidRDefault="009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D7">
          <w:rPr>
            <w:noProof/>
          </w:rPr>
          <w:t>5</w:t>
        </w:r>
        <w:r>
          <w:fldChar w:fldCharType="end"/>
        </w:r>
      </w:p>
    </w:sdtContent>
  </w:sdt>
  <w:p w:rsidR="00D7577D" w:rsidRDefault="00D7577D" w:rsidP="00D7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00068"/>
    <w:rsid w:val="00010445"/>
    <w:rsid w:val="00034571"/>
    <w:rsid w:val="00036154"/>
    <w:rsid w:val="00042081"/>
    <w:rsid w:val="00056FBB"/>
    <w:rsid w:val="00065FC6"/>
    <w:rsid w:val="000855CF"/>
    <w:rsid w:val="00086844"/>
    <w:rsid w:val="00086CCD"/>
    <w:rsid w:val="000935AC"/>
    <w:rsid w:val="00097A0F"/>
    <w:rsid w:val="000A1FEA"/>
    <w:rsid w:val="000C2EA8"/>
    <w:rsid w:val="000D0653"/>
    <w:rsid w:val="000D75CC"/>
    <w:rsid w:val="000E1B58"/>
    <w:rsid w:val="000E66B5"/>
    <w:rsid w:val="00112A5C"/>
    <w:rsid w:val="00127FDA"/>
    <w:rsid w:val="00172981"/>
    <w:rsid w:val="00192D8B"/>
    <w:rsid w:val="001938DC"/>
    <w:rsid w:val="00194B5E"/>
    <w:rsid w:val="001A2AEC"/>
    <w:rsid w:val="001A779F"/>
    <w:rsid w:val="001B0185"/>
    <w:rsid w:val="001F6E64"/>
    <w:rsid w:val="002065B9"/>
    <w:rsid w:val="00241E36"/>
    <w:rsid w:val="0024579E"/>
    <w:rsid w:val="002C2AB6"/>
    <w:rsid w:val="002C33A7"/>
    <w:rsid w:val="002C6A1E"/>
    <w:rsid w:val="002F15A4"/>
    <w:rsid w:val="002F3AFA"/>
    <w:rsid w:val="0030423A"/>
    <w:rsid w:val="00312334"/>
    <w:rsid w:val="00313163"/>
    <w:rsid w:val="00320527"/>
    <w:rsid w:val="00320E86"/>
    <w:rsid w:val="0036373B"/>
    <w:rsid w:val="00380267"/>
    <w:rsid w:val="003920C2"/>
    <w:rsid w:val="003921D0"/>
    <w:rsid w:val="003A251C"/>
    <w:rsid w:val="003B18E4"/>
    <w:rsid w:val="003D7E76"/>
    <w:rsid w:val="003F25F0"/>
    <w:rsid w:val="00421730"/>
    <w:rsid w:val="004352E0"/>
    <w:rsid w:val="00451C07"/>
    <w:rsid w:val="00466969"/>
    <w:rsid w:val="00480085"/>
    <w:rsid w:val="004902C9"/>
    <w:rsid w:val="00496A6D"/>
    <w:rsid w:val="004A239F"/>
    <w:rsid w:val="004E7912"/>
    <w:rsid w:val="004F09F3"/>
    <w:rsid w:val="00504DFA"/>
    <w:rsid w:val="0051293E"/>
    <w:rsid w:val="00513752"/>
    <w:rsid w:val="005529EA"/>
    <w:rsid w:val="00561638"/>
    <w:rsid w:val="005657DF"/>
    <w:rsid w:val="005A3EA9"/>
    <w:rsid w:val="005C11DE"/>
    <w:rsid w:val="005C52FA"/>
    <w:rsid w:val="005D1681"/>
    <w:rsid w:val="00616829"/>
    <w:rsid w:val="00622199"/>
    <w:rsid w:val="0063206F"/>
    <w:rsid w:val="006367AF"/>
    <w:rsid w:val="00667281"/>
    <w:rsid w:val="00670EAD"/>
    <w:rsid w:val="00684DDE"/>
    <w:rsid w:val="006E08D1"/>
    <w:rsid w:val="006E4E06"/>
    <w:rsid w:val="0073660A"/>
    <w:rsid w:val="007559A6"/>
    <w:rsid w:val="007657DF"/>
    <w:rsid w:val="00771375"/>
    <w:rsid w:val="00781EFC"/>
    <w:rsid w:val="00782F3D"/>
    <w:rsid w:val="00785F84"/>
    <w:rsid w:val="007944E1"/>
    <w:rsid w:val="007A29F9"/>
    <w:rsid w:val="007C6E99"/>
    <w:rsid w:val="007E2AEB"/>
    <w:rsid w:val="007F5070"/>
    <w:rsid w:val="007F6EF8"/>
    <w:rsid w:val="00826DC2"/>
    <w:rsid w:val="00834348"/>
    <w:rsid w:val="008677F5"/>
    <w:rsid w:val="00882767"/>
    <w:rsid w:val="00884133"/>
    <w:rsid w:val="00885C12"/>
    <w:rsid w:val="008E1CB1"/>
    <w:rsid w:val="008E4046"/>
    <w:rsid w:val="00947EA6"/>
    <w:rsid w:val="009560B8"/>
    <w:rsid w:val="0095770F"/>
    <w:rsid w:val="00963DC6"/>
    <w:rsid w:val="00973794"/>
    <w:rsid w:val="009E49B7"/>
    <w:rsid w:val="009E590E"/>
    <w:rsid w:val="00A04437"/>
    <w:rsid w:val="00A114BE"/>
    <w:rsid w:val="00A2378C"/>
    <w:rsid w:val="00A264C4"/>
    <w:rsid w:val="00A50524"/>
    <w:rsid w:val="00A566FA"/>
    <w:rsid w:val="00A64C15"/>
    <w:rsid w:val="00A83109"/>
    <w:rsid w:val="00A85564"/>
    <w:rsid w:val="00A86038"/>
    <w:rsid w:val="00AA3C30"/>
    <w:rsid w:val="00AB0B03"/>
    <w:rsid w:val="00AB4E62"/>
    <w:rsid w:val="00AC756A"/>
    <w:rsid w:val="00B15044"/>
    <w:rsid w:val="00B26701"/>
    <w:rsid w:val="00B42D0C"/>
    <w:rsid w:val="00B73B49"/>
    <w:rsid w:val="00B82C78"/>
    <w:rsid w:val="00B83248"/>
    <w:rsid w:val="00B86A9A"/>
    <w:rsid w:val="00BC4725"/>
    <w:rsid w:val="00BF7C24"/>
    <w:rsid w:val="00BF7E7A"/>
    <w:rsid w:val="00C010C8"/>
    <w:rsid w:val="00C1378D"/>
    <w:rsid w:val="00C23B3E"/>
    <w:rsid w:val="00C419A2"/>
    <w:rsid w:val="00C649FF"/>
    <w:rsid w:val="00C65A4B"/>
    <w:rsid w:val="00C83665"/>
    <w:rsid w:val="00C87CF7"/>
    <w:rsid w:val="00CF7B90"/>
    <w:rsid w:val="00D01742"/>
    <w:rsid w:val="00D14F5A"/>
    <w:rsid w:val="00D46AAF"/>
    <w:rsid w:val="00D52513"/>
    <w:rsid w:val="00D528EF"/>
    <w:rsid w:val="00D7577D"/>
    <w:rsid w:val="00D75790"/>
    <w:rsid w:val="00D761B6"/>
    <w:rsid w:val="00D80864"/>
    <w:rsid w:val="00D8214A"/>
    <w:rsid w:val="00D827C7"/>
    <w:rsid w:val="00D878EC"/>
    <w:rsid w:val="00DC2BA5"/>
    <w:rsid w:val="00DC3025"/>
    <w:rsid w:val="00DD1398"/>
    <w:rsid w:val="00DD68C8"/>
    <w:rsid w:val="00DF204E"/>
    <w:rsid w:val="00DF5375"/>
    <w:rsid w:val="00E034D9"/>
    <w:rsid w:val="00E169C1"/>
    <w:rsid w:val="00E27887"/>
    <w:rsid w:val="00E461FD"/>
    <w:rsid w:val="00E5430A"/>
    <w:rsid w:val="00E63625"/>
    <w:rsid w:val="00E753D7"/>
    <w:rsid w:val="00EA4AAA"/>
    <w:rsid w:val="00EA6075"/>
    <w:rsid w:val="00EC1089"/>
    <w:rsid w:val="00EE3E8B"/>
    <w:rsid w:val="00EF1D2E"/>
    <w:rsid w:val="00EF7F22"/>
    <w:rsid w:val="00F01A84"/>
    <w:rsid w:val="00F136A1"/>
    <w:rsid w:val="00F14E98"/>
    <w:rsid w:val="00F20352"/>
    <w:rsid w:val="00F2691C"/>
    <w:rsid w:val="00F46F6A"/>
    <w:rsid w:val="00F63ED4"/>
    <w:rsid w:val="00F71DDD"/>
    <w:rsid w:val="00FA0EF1"/>
    <w:rsid w:val="00FA4941"/>
    <w:rsid w:val="00FC3B63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31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1837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6</cp:revision>
  <cp:lastPrinted>2024-08-05T11:45:00Z</cp:lastPrinted>
  <dcterms:created xsi:type="dcterms:W3CDTF">2024-08-05T06:08:00Z</dcterms:created>
  <dcterms:modified xsi:type="dcterms:W3CDTF">2024-08-06T08:28:00Z</dcterms:modified>
</cp:coreProperties>
</file>