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03A468B0" w:rsidR="006E5815" w:rsidRPr="008433EA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5A384D">
        <w:rPr>
          <w:rFonts w:asciiTheme="minorHAnsi" w:hAnsiTheme="minorHAnsi" w:cstheme="minorHAnsi"/>
          <w:sz w:val="24"/>
          <w:szCs w:val="24"/>
        </w:rPr>
        <w:t xml:space="preserve">06 luty </w:t>
      </w:r>
      <w:r w:rsidR="00F80843" w:rsidRPr="008433EA">
        <w:rPr>
          <w:rFonts w:asciiTheme="minorHAnsi" w:hAnsiTheme="minorHAnsi" w:cstheme="minorHAnsi"/>
          <w:sz w:val="24"/>
          <w:szCs w:val="24"/>
        </w:rPr>
        <w:t>202</w:t>
      </w:r>
      <w:r w:rsidR="005C7499">
        <w:rPr>
          <w:rFonts w:asciiTheme="minorHAnsi" w:hAnsiTheme="minorHAnsi" w:cstheme="minorHAnsi"/>
          <w:sz w:val="24"/>
          <w:szCs w:val="24"/>
        </w:rPr>
        <w:t>4</w:t>
      </w:r>
    </w:p>
    <w:p w14:paraId="234C907A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2FB3F3F2" w:rsidR="006E5815" w:rsidRPr="008433EA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433EA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 w:rsidRPr="008433E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620D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C749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5C749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1D79EB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4A898488" w:rsidR="006E5815" w:rsidRPr="008433EA" w:rsidRDefault="00A112DC" w:rsidP="00A112D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65305925" w14:textId="77777777" w:rsidR="006E5815" w:rsidRPr="008433EA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8433EA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1FCC4323" w14:textId="77777777" w:rsidR="007F65A5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8433EA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</w:t>
      </w:r>
      <w:r w:rsidR="007F65A5">
        <w:rPr>
          <w:rFonts w:asciiTheme="minorHAnsi" w:hAnsiTheme="minorHAnsi" w:cstheme="minorHAnsi"/>
          <w:sz w:val="24"/>
          <w:szCs w:val="24"/>
        </w:rPr>
        <w:t> </w:t>
      </w:r>
    </w:p>
    <w:p w14:paraId="225BEFA2" w14:textId="0CAE8FB8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NIP:855-15-71-375</w:t>
      </w:r>
    </w:p>
    <w:p w14:paraId="3C04F065" w14:textId="68B5BDC9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8433EA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</w:t>
      </w:r>
    </w:p>
    <w:p w14:paraId="4AF0AD37" w14:textId="77777777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69E9661C" w:rsidR="006E5815" w:rsidRPr="008433EA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8433EA">
        <w:rPr>
          <w:rFonts w:asciiTheme="minorHAnsi" w:hAnsiTheme="minorHAnsi" w:cstheme="minorHAnsi"/>
          <w:sz w:val="24"/>
          <w:szCs w:val="24"/>
        </w:rPr>
        <w:t xml:space="preserve">Katarzyna </w:t>
      </w:r>
      <w:proofErr w:type="spellStart"/>
      <w:r w:rsidR="00B21AF4" w:rsidRPr="008433EA">
        <w:rPr>
          <w:rFonts w:asciiTheme="minorHAnsi" w:hAnsiTheme="minorHAnsi" w:cstheme="minorHAnsi"/>
          <w:sz w:val="24"/>
          <w:szCs w:val="24"/>
        </w:rPr>
        <w:t>Wenderska</w:t>
      </w:r>
      <w:proofErr w:type="spellEnd"/>
      <w:r w:rsidR="00B21AF4" w:rsidRPr="008433EA">
        <w:rPr>
          <w:rFonts w:asciiTheme="minorHAnsi" w:hAnsiTheme="minorHAnsi" w:cstheme="minorHAnsi"/>
          <w:sz w:val="24"/>
          <w:szCs w:val="24"/>
        </w:rPr>
        <w:t xml:space="preserve"> tel.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091 3213781 wew.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28, email:</w:t>
      </w:r>
      <w:hyperlink r:id="rId8" w:history="1">
        <w:r w:rsidR="00AE0679" w:rsidRPr="008433EA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008974BF" w:rsidR="00AE0679" w:rsidRPr="008433EA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FCF" w14:textId="08F364FD" w:rsidR="008519D2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 zaprasza do złożenia ofert na: </w:t>
      </w:r>
    </w:p>
    <w:p w14:paraId="7C760517" w14:textId="77777777" w:rsidR="00733FCD" w:rsidRDefault="00733FCD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1DE568" w14:textId="77777777" w:rsidR="00733FCD" w:rsidRPr="00733FCD" w:rsidRDefault="00733FCD" w:rsidP="00733FCD">
      <w:pPr>
        <w:pStyle w:val="Tekstpodstawowywcity2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3FCD">
        <w:rPr>
          <w:rFonts w:asciiTheme="minorHAnsi" w:hAnsiTheme="minorHAnsi" w:cstheme="minorHAnsi"/>
          <w:b/>
          <w:bCs/>
          <w:sz w:val="24"/>
          <w:szCs w:val="24"/>
        </w:rPr>
        <w:t>Zakup wraz z sukcesywną dostawą artykułów biurowych, papieru ksero, tonerów z podziałem na zadania 1,2,3.</w:t>
      </w:r>
    </w:p>
    <w:p w14:paraId="74F137B2" w14:textId="77777777" w:rsidR="00733FCD" w:rsidRPr="008433EA" w:rsidRDefault="00733FCD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CD8A87" w14:textId="77777777" w:rsidR="00733FCD" w:rsidRPr="006561A8" w:rsidRDefault="00827853" w:rsidP="00BB510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733FCD" w:rsidRPr="006561A8">
        <w:rPr>
          <w:rFonts w:asciiTheme="minorHAnsi" w:hAnsiTheme="minorHAnsi" w:cstheme="minorHAnsi"/>
          <w:sz w:val="24"/>
          <w:szCs w:val="24"/>
        </w:rPr>
        <w:t>:</w:t>
      </w:r>
    </w:p>
    <w:p w14:paraId="4348238D" w14:textId="2F02A14F" w:rsidR="00733FCD" w:rsidRPr="006561A8" w:rsidRDefault="00733FCD" w:rsidP="00733FCD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Przedmiotem zamówienia jest zakup wraz z sukcesywną dostawą artykułów biurowych, papieru ksero, tonerów</w:t>
      </w:r>
      <w:r w:rsidR="00C93385">
        <w:rPr>
          <w:rFonts w:asciiTheme="minorHAnsi" w:hAnsiTheme="minorHAnsi" w:cstheme="minorHAnsi"/>
          <w:sz w:val="24"/>
          <w:szCs w:val="24"/>
        </w:rPr>
        <w:t xml:space="preserve"> na podstawie przekazywanych przez Zamawiającego </w:t>
      </w:r>
      <w:proofErr w:type="spellStart"/>
      <w:r w:rsidR="00C93385">
        <w:rPr>
          <w:rFonts w:asciiTheme="minorHAnsi" w:hAnsiTheme="minorHAnsi" w:cstheme="minorHAnsi"/>
          <w:sz w:val="24"/>
          <w:szCs w:val="24"/>
        </w:rPr>
        <w:t>zapotrzebowań</w:t>
      </w:r>
      <w:proofErr w:type="spellEnd"/>
      <w:r w:rsidRPr="006561A8">
        <w:rPr>
          <w:rFonts w:asciiTheme="minorHAnsi" w:hAnsiTheme="minorHAnsi" w:cstheme="minorHAnsi"/>
          <w:sz w:val="24"/>
          <w:szCs w:val="24"/>
        </w:rPr>
        <w:t xml:space="preserve">. </w:t>
      </w:r>
      <w:r w:rsidRPr="006561A8">
        <w:rPr>
          <w:rFonts w:asciiTheme="minorHAnsi" w:hAnsiTheme="minorHAnsi" w:cstheme="minorHAnsi"/>
          <w:sz w:val="24"/>
          <w:szCs w:val="24"/>
          <w:u w:val="single"/>
        </w:rPr>
        <w:t>Podane ilości są szacunkowe i służą do celów sporządzenia oferty a nie stanowią zobowiązania Zamawiającego do zakupu ilości uwzględnionych w wykazach.</w:t>
      </w:r>
    </w:p>
    <w:p w14:paraId="4188AF24" w14:textId="77777777" w:rsidR="00733FCD" w:rsidRPr="006561A8" w:rsidRDefault="00733FCD" w:rsidP="00733FCD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Integralną część zapytania ofertowego stanowią:</w:t>
      </w:r>
    </w:p>
    <w:p w14:paraId="33B3C687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artykułów biurowych – zadanie nr 1, załącznik 1,</w:t>
      </w:r>
    </w:p>
    <w:p w14:paraId="12D409B4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papieru ksero – zadanie nr 2, załącznik 2,</w:t>
      </w:r>
    </w:p>
    <w:p w14:paraId="6B84FE01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szczegółowy wykaz asortymentowo-ilościowy tonerów – zadanie nr 3, załącznik 3,</w:t>
      </w:r>
    </w:p>
    <w:p w14:paraId="68114E5E" w14:textId="77777777" w:rsidR="00733FCD" w:rsidRPr="006561A8" w:rsidRDefault="00733FCD" w:rsidP="00733F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wykaz obiektów objętych dostawami – załącznik 4, </w:t>
      </w:r>
    </w:p>
    <w:p w14:paraId="300E9B7B" w14:textId="00AA8F7C" w:rsidR="00067845" w:rsidRDefault="00067845" w:rsidP="0006784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wzór umowy – załącznik nr 5</w:t>
      </w:r>
      <w:r w:rsidR="0095508E">
        <w:rPr>
          <w:rFonts w:asciiTheme="minorHAnsi" w:hAnsiTheme="minorHAnsi" w:cstheme="minorHAnsi"/>
          <w:sz w:val="24"/>
          <w:szCs w:val="24"/>
        </w:rPr>
        <w:t>,</w:t>
      </w:r>
    </w:p>
    <w:p w14:paraId="10E39883" w14:textId="272BC6A9" w:rsidR="0095508E" w:rsidRPr="0095508E" w:rsidRDefault="00AE3C85" w:rsidP="0095508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5508E">
        <w:rPr>
          <w:rFonts w:asciiTheme="minorHAnsi" w:hAnsiTheme="minorHAnsi" w:cstheme="minorHAnsi"/>
          <w:sz w:val="24"/>
          <w:szCs w:val="24"/>
        </w:rPr>
        <w:t xml:space="preserve">nformacja RODO - </w:t>
      </w:r>
      <w:r w:rsidR="0095508E" w:rsidRPr="006561A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5508E">
        <w:rPr>
          <w:rFonts w:asciiTheme="minorHAnsi" w:hAnsiTheme="minorHAnsi" w:cstheme="minorHAnsi"/>
          <w:sz w:val="24"/>
          <w:szCs w:val="24"/>
        </w:rPr>
        <w:t>6.</w:t>
      </w:r>
    </w:p>
    <w:p w14:paraId="7AF85C76" w14:textId="3A5364A0" w:rsidR="00733FCD" w:rsidRPr="006561A8" w:rsidRDefault="00733FCD" w:rsidP="0006784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7CA1AC5" w14:textId="4A57131E" w:rsidR="00CC2D49" w:rsidRPr="006561A8" w:rsidRDefault="00CC2D49" w:rsidP="00CC2D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Oferowane produkty/towary muszą być fabrycznie nowe, nieużywane, pełnowartościowe, wolne od wad oraz posiadać wszelkie oznaczenia i certyfikaty wymagane przepisa</w:t>
      </w:r>
      <w:r w:rsidR="00CF4EB0">
        <w:rPr>
          <w:rFonts w:asciiTheme="minorHAnsi" w:hAnsiTheme="minorHAnsi" w:cstheme="minorHAnsi"/>
          <w:sz w:val="24"/>
          <w:szCs w:val="24"/>
        </w:rPr>
        <w:t>m</w:t>
      </w:r>
      <w:r w:rsidRPr="006561A8">
        <w:rPr>
          <w:rFonts w:asciiTheme="minorHAnsi" w:hAnsiTheme="minorHAnsi" w:cstheme="minorHAnsi"/>
          <w:sz w:val="24"/>
          <w:szCs w:val="24"/>
        </w:rPr>
        <w:t xml:space="preserve">i prawa. </w:t>
      </w:r>
    </w:p>
    <w:p w14:paraId="54C11487" w14:textId="77777777" w:rsidR="002C18F0" w:rsidRPr="006561A8" w:rsidRDefault="002C18F0" w:rsidP="002C18F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F7D90B" w14:textId="60147C89" w:rsidR="00A767D8" w:rsidRPr="006561A8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Oferent składający ofertę </w:t>
      </w:r>
      <w:r w:rsidR="00824DE3" w:rsidRPr="006561A8">
        <w:rPr>
          <w:rFonts w:asciiTheme="minorHAnsi" w:hAnsiTheme="minorHAnsi" w:cstheme="minorHAnsi"/>
          <w:sz w:val="24"/>
          <w:szCs w:val="24"/>
        </w:rPr>
        <w:t xml:space="preserve">poprzez: </w:t>
      </w:r>
      <w:hyperlink r:id="rId9" w:history="1">
        <w:r w:rsidR="00824DE3" w:rsidRPr="006561A8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824DE3" w:rsidRPr="006561A8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zobowiązany jest </w:t>
      </w:r>
      <w:r w:rsidR="00A767D8" w:rsidRPr="006561A8">
        <w:rPr>
          <w:rFonts w:asciiTheme="minorHAnsi" w:hAnsiTheme="minorHAnsi" w:cstheme="minorHAnsi"/>
          <w:sz w:val="24"/>
          <w:szCs w:val="24"/>
        </w:rPr>
        <w:t xml:space="preserve">do </w:t>
      </w:r>
      <w:r w:rsidRPr="006561A8">
        <w:rPr>
          <w:rFonts w:asciiTheme="minorHAnsi" w:hAnsiTheme="minorHAnsi" w:cstheme="minorHAnsi"/>
          <w:sz w:val="24"/>
          <w:szCs w:val="24"/>
        </w:rPr>
        <w:t xml:space="preserve">wpisania </w:t>
      </w:r>
      <w:r w:rsidRPr="006561A8">
        <w:rPr>
          <w:rFonts w:asciiTheme="minorHAnsi" w:hAnsiTheme="minorHAnsi" w:cstheme="minorHAnsi"/>
          <w:sz w:val="24"/>
          <w:szCs w:val="24"/>
          <w:u w:val="single"/>
        </w:rPr>
        <w:t>wartości całego zadania</w:t>
      </w:r>
      <w:r w:rsidR="00A767D8" w:rsidRPr="006561A8">
        <w:rPr>
          <w:rFonts w:asciiTheme="minorHAnsi" w:hAnsiTheme="minorHAnsi" w:cstheme="minorHAnsi"/>
          <w:sz w:val="24"/>
          <w:szCs w:val="24"/>
        </w:rPr>
        <w:t xml:space="preserve"> na które składa ofertę. </w:t>
      </w:r>
    </w:p>
    <w:p w14:paraId="1D37C526" w14:textId="6B9BB1B9" w:rsidR="002D3845" w:rsidRPr="00036176" w:rsidRDefault="008A23C4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lastRenderedPageBreak/>
        <w:t>Ponadto o</w:t>
      </w:r>
      <w:r w:rsidR="00A767D8" w:rsidRPr="006561A8">
        <w:rPr>
          <w:rFonts w:asciiTheme="minorHAnsi" w:hAnsiTheme="minorHAnsi" w:cstheme="minorHAnsi"/>
          <w:sz w:val="24"/>
          <w:szCs w:val="24"/>
        </w:rPr>
        <w:t>ferent zobowiązany jest również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do wypełnienia </w:t>
      </w:r>
      <w:r w:rsidRPr="006561A8">
        <w:rPr>
          <w:rFonts w:asciiTheme="minorHAnsi" w:hAnsiTheme="minorHAnsi" w:cstheme="minorHAnsi"/>
          <w:sz w:val="24"/>
          <w:szCs w:val="24"/>
        </w:rPr>
        <w:t>oferty szczegółowej -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plik</w:t>
      </w:r>
      <w:r w:rsidRPr="006561A8">
        <w:rPr>
          <w:rFonts w:asciiTheme="minorHAnsi" w:hAnsiTheme="minorHAnsi" w:cstheme="minorHAnsi"/>
          <w:sz w:val="24"/>
          <w:szCs w:val="24"/>
        </w:rPr>
        <w:t>i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 w formacie </w:t>
      </w:r>
      <w:proofErr w:type="spellStart"/>
      <w:r w:rsidR="002D3845" w:rsidRPr="006561A8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2D3845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dla każdego z poszczególnych zadań </w:t>
      </w:r>
      <w:r w:rsidR="002D3845" w:rsidRPr="006561A8">
        <w:rPr>
          <w:rFonts w:asciiTheme="minorHAnsi" w:hAnsiTheme="minorHAnsi" w:cstheme="minorHAnsi"/>
          <w:sz w:val="24"/>
          <w:szCs w:val="24"/>
        </w:rPr>
        <w:t xml:space="preserve">i </w:t>
      </w:r>
      <w:r w:rsidR="008A0F07">
        <w:rPr>
          <w:rFonts w:asciiTheme="minorHAnsi" w:hAnsiTheme="minorHAnsi" w:cstheme="minorHAnsi"/>
          <w:sz w:val="24"/>
          <w:szCs w:val="24"/>
        </w:rPr>
        <w:t>załączenia plików wraz z składaną ofertą</w:t>
      </w:r>
      <w:r w:rsidR="00036176">
        <w:rPr>
          <w:rFonts w:asciiTheme="minorHAnsi" w:hAnsiTheme="minorHAnsi" w:cstheme="minorHAnsi"/>
          <w:sz w:val="24"/>
          <w:szCs w:val="24"/>
        </w:rPr>
        <w:t xml:space="preserve"> </w:t>
      </w:r>
      <w:r w:rsidR="00036176" w:rsidRPr="00036176">
        <w:rPr>
          <w:rFonts w:asciiTheme="minorHAnsi" w:hAnsiTheme="minorHAnsi" w:cstheme="minorHAnsi"/>
          <w:color w:val="4472C4" w:themeColor="accent1"/>
          <w:sz w:val="24"/>
          <w:szCs w:val="24"/>
        </w:rPr>
        <w:t>– Dołącz plik</w:t>
      </w:r>
    </w:p>
    <w:p w14:paraId="5C3AF536" w14:textId="41D506F6" w:rsidR="00086A5E" w:rsidRPr="006561A8" w:rsidRDefault="007A4480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>Wartość s</w:t>
      </w:r>
      <w:r w:rsidR="00086A5E" w:rsidRPr="006561A8">
        <w:rPr>
          <w:rFonts w:asciiTheme="minorHAnsi" w:hAnsiTheme="minorHAnsi" w:cstheme="minorHAnsi"/>
          <w:sz w:val="24"/>
          <w:szCs w:val="24"/>
        </w:rPr>
        <w:t>um</w:t>
      </w:r>
      <w:r w:rsidRPr="006561A8">
        <w:rPr>
          <w:rFonts w:asciiTheme="minorHAnsi" w:hAnsiTheme="minorHAnsi" w:cstheme="minorHAnsi"/>
          <w:sz w:val="24"/>
          <w:szCs w:val="24"/>
        </w:rPr>
        <w:t>y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pozycji </w:t>
      </w:r>
      <w:r w:rsidR="002F6E3C" w:rsidRPr="006561A8">
        <w:rPr>
          <w:rFonts w:asciiTheme="minorHAnsi" w:hAnsiTheme="minorHAnsi" w:cstheme="minorHAnsi"/>
          <w:sz w:val="24"/>
          <w:szCs w:val="24"/>
        </w:rPr>
        <w:t>zawartych w</w:t>
      </w:r>
      <w:r w:rsidR="000B762B" w:rsidRPr="006561A8">
        <w:rPr>
          <w:rFonts w:asciiTheme="minorHAnsi" w:hAnsiTheme="minorHAnsi" w:cstheme="minorHAnsi"/>
          <w:sz w:val="24"/>
          <w:szCs w:val="24"/>
        </w:rPr>
        <w:t xml:space="preserve"> ofercie szczegółowej </w:t>
      </w:r>
      <w:r w:rsidR="00142365" w:rsidRPr="006561A8">
        <w:rPr>
          <w:rFonts w:asciiTheme="minorHAnsi" w:hAnsiTheme="minorHAnsi" w:cstheme="minorHAnsi"/>
          <w:sz w:val="24"/>
          <w:szCs w:val="24"/>
        </w:rPr>
        <w:t>(</w:t>
      </w:r>
      <w:r w:rsidR="002F6E3C" w:rsidRPr="006561A8">
        <w:rPr>
          <w:rFonts w:asciiTheme="minorHAnsi" w:hAnsiTheme="minorHAnsi" w:cstheme="minorHAnsi"/>
          <w:sz w:val="24"/>
          <w:szCs w:val="24"/>
        </w:rPr>
        <w:t xml:space="preserve">załącznik nr 1 lub 2 lub 3 </w:t>
      </w:r>
      <w:r w:rsidR="00142365" w:rsidRPr="006561A8">
        <w:rPr>
          <w:rFonts w:asciiTheme="minorHAnsi" w:hAnsiTheme="minorHAnsi" w:cstheme="minorHAnsi"/>
          <w:sz w:val="24"/>
          <w:szCs w:val="24"/>
        </w:rPr>
        <w:t xml:space="preserve">- </w:t>
      </w:r>
      <w:r w:rsidR="008835DB" w:rsidRPr="006561A8">
        <w:rPr>
          <w:rFonts w:asciiTheme="minorHAnsi" w:hAnsiTheme="minorHAnsi" w:cstheme="minorHAnsi"/>
          <w:sz w:val="24"/>
          <w:szCs w:val="24"/>
        </w:rPr>
        <w:t xml:space="preserve">pliki w formacie </w:t>
      </w:r>
      <w:proofErr w:type="spellStart"/>
      <w:r w:rsidR="008835DB" w:rsidRPr="006561A8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142365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Pr="006561A8">
        <w:rPr>
          <w:rFonts w:asciiTheme="minorHAnsi" w:hAnsiTheme="minorHAnsi" w:cstheme="minorHAnsi"/>
          <w:sz w:val="24"/>
          <w:szCs w:val="24"/>
        </w:rPr>
        <w:t xml:space="preserve">które zostaną </w:t>
      </w:r>
      <w:r w:rsidR="002F6E3C" w:rsidRPr="006561A8">
        <w:rPr>
          <w:rFonts w:asciiTheme="minorHAnsi" w:hAnsiTheme="minorHAnsi" w:cstheme="minorHAnsi"/>
          <w:sz w:val="24"/>
          <w:szCs w:val="24"/>
        </w:rPr>
        <w:t>przesłan</w:t>
      </w:r>
      <w:r w:rsidRPr="006561A8">
        <w:rPr>
          <w:rFonts w:asciiTheme="minorHAnsi" w:hAnsiTheme="minorHAnsi" w:cstheme="minorHAnsi"/>
          <w:sz w:val="24"/>
          <w:szCs w:val="24"/>
        </w:rPr>
        <w:t>e</w:t>
      </w:r>
      <w:r w:rsidR="002F6E3C"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="00086A5E" w:rsidRPr="006561A8">
        <w:rPr>
          <w:rFonts w:asciiTheme="minorHAnsi" w:hAnsiTheme="minorHAnsi" w:cstheme="minorHAnsi"/>
          <w:sz w:val="24"/>
          <w:szCs w:val="24"/>
        </w:rPr>
        <w:t>w wiadomości do zamawiającego</w:t>
      </w:r>
      <w:r w:rsidR="00142365" w:rsidRPr="006561A8">
        <w:rPr>
          <w:rFonts w:asciiTheme="minorHAnsi" w:hAnsiTheme="minorHAnsi" w:cstheme="minorHAnsi"/>
          <w:sz w:val="24"/>
          <w:szCs w:val="24"/>
        </w:rPr>
        <w:t>)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mus</w:t>
      </w:r>
      <w:r w:rsidRPr="006561A8">
        <w:rPr>
          <w:rFonts w:asciiTheme="minorHAnsi" w:hAnsiTheme="minorHAnsi" w:cstheme="minorHAnsi"/>
          <w:sz w:val="24"/>
          <w:szCs w:val="24"/>
        </w:rPr>
        <w:t>i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 odpowiadać złożonej ofercie</w:t>
      </w:r>
      <w:r w:rsidRPr="006561A8">
        <w:rPr>
          <w:rFonts w:asciiTheme="minorHAnsi" w:hAnsiTheme="minorHAnsi" w:cstheme="minorHAnsi"/>
          <w:sz w:val="24"/>
          <w:szCs w:val="24"/>
        </w:rPr>
        <w:t xml:space="preserve"> w kwocie łącznej dla każdego zadania</w:t>
      </w:r>
      <w:r w:rsidR="00086A5E" w:rsidRPr="006561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C716B9" w14:textId="19ED2560" w:rsidR="00086A5E" w:rsidRPr="006561A8" w:rsidRDefault="00086A5E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W przypadku rozbieżności pomiędzy złożoną ofertą </w:t>
      </w:r>
      <w:r w:rsidR="009B1382" w:rsidRPr="006561A8">
        <w:rPr>
          <w:rFonts w:asciiTheme="minorHAnsi" w:hAnsiTheme="minorHAnsi" w:cstheme="minorHAnsi"/>
          <w:sz w:val="24"/>
          <w:szCs w:val="24"/>
        </w:rPr>
        <w:t xml:space="preserve">w kwocie łącznej </w:t>
      </w:r>
      <w:r w:rsidRPr="006561A8">
        <w:rPr>
          <w:rFonts w:asciiTheme="minorHAnsi" w:hAnsiTheme="minorHAnsi" w:cstheme="minorHAnsi"/>
          <w:sz w:val="24"/>
          <w:szCs w:val="24"/>
        </w:rPr>
        <w:t>a szczegółowym jej wykazem zamawiający wezwie do złożenia wyjaśnień.</w:t>
      </w:r>
    </w:p>
    <w:p w14:paraId="63A22EBB" w14:textId="3C112E2A" w:rsidR="008835DB" w:rsidRPr="006561A8" w:rsidRDefault="008835DB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7465D8" w14:textId="77777777" w:rsidR="000B548D" w:rsidRPr="006561A8" w:rsidRDefault="000B548D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9EA3021" w14:textId="7D697220" w:rsidR="000B548D" w:rsidRPr="006561A8" w:rsidRDefault="000B548D" w:rsidP="005E1DEB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Pr="006561A8">
        <w:rPr>
          <w:rFonts w:asciiTheme="minorHAnsi" w:hAnsiTheme="minorHAnsi" w:cstheme="minorHAnsi"/>
          <w:sz w:val="24"/>
          <w:szCs w:val="24"/>
        </w:rPr>
        <w:t>Kryterium</w:t>
      </w:r>
      <w:r w:rsidR="007C2B08" w:rsidRPr="006561A8">
        <w:rPr>
          <w:rFonts w:asciiTheme="minorHAnsi" w:hAnsiTheme="minorHAnsi" w:cstheme="minorHAnsi"/>
          <w:sz w:val="24"/>
          <w:szCs w:val="24"/>
        </w:rPr>
        <w:t xml:space="preserve"> oceny ofert</w:t>
      </w:r>
      <w:r w:rsidRPr="006561A8">
        <w:rPr>
          <w:rFonts w:asciiTheme="minorHAnsi" w:hAnsiTheme="minorHAnsi" w:cstheme="minorHAnsi"/>
          <w:sz w:val="24"/>
          <w:szCs w:val="24"/>
        </w:rPr>
        <w:t xml:space="preserve">: </w:t>
      </w:r>
      <w:r w:rsidRPr="006561A8">
        <w:rPr>
          <w:rFonts w:asciiTheme="minorHAnsi" w:hAnsiTheme="minorHAnsi" w:cstheme="minorHAnsi"/>
          <w:b/>
          <w:bCs/>
          <w:sz w:val="24"/>
          <w:szCs w:val="24"/>
        </w:rPr>
        <w:t xml:space="preserve">100 % </w:t>
      </w:r>
      <w:r w:rsidR="00AD0FB8" w:rsidRPr="006561A8">
        <w:rPr>
          <w:rFonts w:asciiTheme="minorHAnsi" w:hAnsiTheme="minorHAnsi" w:cstheme="minorHAnsi"/>
          <w:b/>
          <w:bCs/>
          <w:sz w:val="24"/>
          <w:szCs w:val="24"/>
        </w:rPr>
        <w:t>cena.</w:t>
      </w:r>
    </w:p>
    <w:p w14:paraId="403DF1BC" w14:textId="78451144" w:rsidR="00827853" w:rsidRPr="006561A8" w:rsidRDefault="00827853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6561A8">
        <w:rPr>
          <w:rFonts w:asciiTheme="minorHAnsi" w:hAnsiTheme="minorHAnsi" w:cstheme="minorHAnsi"/>
          <w:spacing w:val="-1"/>
          <w:sz w:val="24"/>
          <w:szCs w:val="24"/>
        </w:rPr>
        <w:t xml:space="preserve">   </w:t>
      </w:r>
    </w:p>
    <w:p w14:paraId="100E34E3" w14:textId="28FACDB1" w:rsidR="008C3CAA" w:rsidRPr="006561A8" w:rsidRDefault="000B548D" w:rsidP="005E1DEB">
      <w:pPr>
        <w:pStyle w:val="Tekstpodstawowywcity"/>
        <w:spacing w:before="120"/>
        <w:ind w:left="1"/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5. </w:t>
      </w:r>
      <w:r w:rsidR="00827853" w:rsidRPr="006561A8">
        <w:rPr>
          <w:rFonts w:asciiTheme="minorHAnsi" w:hAnsiTheme="minorHAnsi" w:cstheme="minorHAnsi"/>
          <w:sz w:val="24"/>
          <w:szCs w:val="24"/>
        </w:rPr>
        <w:t>Data realizacji z</w:t>
      </w:r>
      <w:r w:rsidR="00815A83" w:rsidRPr="006561A8">
        <w:rPr>
          <w:rFonts w:asciiTheme="minorHAnsi" w:hAnsiTheme="minorHAnsi" w:cstheme="minorHAnsi"/>
          <w:sz w:val="24"/>
          <w:szCs w:val="24"/>
        </w:rPr>
        <w:t>a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mówienia: </w:t>
      </w:r>
      <w:r w:rsidR="00A64DFE" w:rsidRPr="006561A8">
        <w:rPr>
          <w:rFonts w:asciiTheme="minorHAnsi" w:hAnsiTheme="minorHAnsi" w:cstheme="minorHAnsi"/>
          <w:sz w:val="24"/>
          <w:szCs w:val="24"/>
        </w:rPr>
        <w:t>12 miesięcy</w:t>
      </w:r>
      <w:r w:rsidR="008C3CAA" w:rsidRPr="006561A8">
        <w:rPr>
          <w:rFonts w:asciiTheme="minorHAnsi" w:hAnsiTheme="minorHAnsi" w:cstheme="minorHAnsi"/>
          <w:sz w:val="24"/>
          <w:szCs w:val="24"/>
        </w:rPr>
        <w:t xml:space="preserve"> od dnia zawarcia umowy</w:t>
      </w:r>
      <w:r w:rsidR="001D07FF" w:rsidRPr="006561A8">
        <w:rPr>
          <w:rFonts w:asciiTheme="minorHAnsi" w:hAnsiTheme="minorHAnsi" w:cstheme="minorHAnsi"/>
          <w:sz w:val="24"/>
          <w:szCs w:val="24"/>
        </w:rPr>
        <w:t>.</w:t>
      </w:r>
    </w:p>
    <w:p w14:paraId="7AF83201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3E9A0" w14:textId="58F0EDFB" w:rsidR="007467B2" w:rsidRPr="006D459D" w:rsidRDefault="001D07FF" w:rsidP="007467B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6. 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hyperlink r:id="rId10" w:history="1">
        <w:r w:rsidR="007467B2" w:rsidRPr="006561A8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7467B2" w:rsidRPr="006561A8">
        <w:rPr>
          <w:rFonts w:asciiTheme="minorHAnsi" w:hAnsiTheme="minorHAnsi" w:cstheme="minorHAnsi"/>
          <w:sz w:val="24"/>
          <w:szCs w:val="24"/>
        </w:rPr>
        <w:t xml:space="preserve"> w terminie do dnia </w:t>
      </w:r>
      <w:r w:rsidR="006A1AB8" w:rsidRPr="006A1AB8">
        <w:rPr>
          <w:rFonts w:asciiTheme="minorHAnsi" w:hAnsiTheme="minorHAnsi" w:cstheme="minorHAnsi"/>
          <w:b/>
          <w:bCs/>
          <w:sz w:val="24"/>
          <w:szCs w:val="24"/>
        </w:rPr>
        <w:t>14 Luty </w:t>
      </w:r>
      <w:r w:rsidR="00B8273F" w:rsidRPr="006A1AB8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7467B2" w:rsidRPr="006561A8">
        <w:rPr>
          <w:rFonts w:asciiTheme="minorHAnsi" w:hAnsiTheme="minorHAnsi" w:cstheme="minorHAnsi"/>
          <w:sz w:val="24"/>
          <w:szCs w:val="24"/>
        </w:rPr>
        <w:t xml:space="preserve"> godzina </w:t>
      </w:r>
      <w:r w:rsidR="00803B17" w:rsidRPr="006D459D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467B2" w:rsidRPr="006D459D">
        <w:rPr>
          <w:rFonts w:asciiTheme="minorHAnsi" w:hAnsiTheme="minorHAnsi" w:cstheme="minorHAnsi"/>
          <w:b/>
          <w:bCs/>
          <w:sz w:val="24"/>
          <w:szCs w:val="24"/>
        </w:rPr>
        <w:t>:00</w:t>
      </w:r>
    </w:p>
    <w:p w14:paraId="3A30CA58" w14:textId="77777777" w:rsidR="00827853" w:rsidRPr="006561A8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F722C" w14:textId="127747E0" w:rsidR="00827853" w:rsidRPr="006561A8" w:rsidRDefault="00A75E0A" w:rsidP="00A75E0A">
      <w:pPr>
        <w:jc w:val="both"/>
        <w:rPr>
          <w:rFonts w:asciiTheme="minorHAnsi" w:hAnsiTheme="minorHAnsi" w:cstheme="minorHAnsi"/>
          <w:sz w:val="24"/>
          <w:szCs w:val="24"/>
        </w:rPr>
      </w:pPr>
      <w:r w:rsidRPr="006561A8">
        <w:rPr>
          <w:rFonts w:asciiTheme="minorHAnsi" w:hAnsiTheme="minorHAnsi" w:cstheme="minorHAnsi"/>
          <w:sz w:val="24"/>
          <w:szCs w:val="24"/>
        </w:rPr>
        <w:t xml:space="preserve">7.  </w:t>
      </w:r>
      <w:r w:rsidR="00827853" w:rsidRPr="006561A8">
        <w:rPr>
          <w:rFonts w:asciiTheme="minorHAnsi" w:hAnsiTheme="minorHAnsi" w:cstheme="minorHAnsi"/>
          <w:sz w:val="24"/>
          <w:szCs w:val="24"/>
        </w:rPr>
        <w:t xml:space="preserve">Data otwarcia ofert: </w:t>
      </w:r>
    </w:p>
    <w:p w14:paraId="0F1A2E30" w14:textId="442EE339" w:rsidR="00827853" w:rsidRPr="006D459D" w:rsidRDefault="006A1AB8" w:rsidP="008278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1AB8">
        <w:rPr>
          <w:rFonts w:asciiTheme="minorHAnsi" w:hAnsiTheme="minorHAnsi" w:cstheme="minorHAnsi"/>
          <w:b/>
          <w:bCs/>
          <w:sz w:val="24"/>
          <w:szCs w:val="24"/>
        </w:rPr>
        <w:t>14 Luty 2024</w:t>
      </w:r>
      <w:r w:rsidRPr="006561A8">
        <w:rPr>
          <w:rFonts w:asciiTheme="minorHAnsi" w:hAnsiTheme="minorHAnsi" w:cstheme="minorHAnsi"/>
          <w:sz w:val="24"/>
          <w:szCs w:val="24"/>
        </w:rPr>
        <w:t xml:space="preserve"> </w:t>
      </w:r>
      <w:r w:rsidR="007467B2" w:rsidRPr="006561A8">
        <w:rPr>
          <w:rFonts w:asciiTheme="minorHAnsi" w:hAnsiTheme="minorHAnsi" w:cstheme="minorHAnsi"/>
          <w:sz w:val="24"/>
          <w:szCs w:val="24"/>
        </w:rPr>
        <w:t xml:space="preserve">godzina </w:t>
      </w:r>
      <w:r w:rsidR="00803B17" w:rsidRPr="006D45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467B2" w:rsidRPr="006D459D">
        <w:rPr>
          <w:rFonts w:asciiTheme="minorHAnsi" w:hAnsiTheme="minorHAnsi" w:cstheme="minorHAnsi"/>
          <w:b/>
          <w:bCs/>
          <w:sz w:val="24"/>
          <w:szCs w:val="24"/>
        </w:rPr>
        <w:t>0:05</w:t>
      </w:r>
    </w:p>
    <w:p w14:paraId="6A6303EA" w14:textId="739A18FF" w:rsidR="00350CD8" w:rsidRPr="006561A8" w:rsidRDefault="00350CD8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8A336" w14:textId="757F9044" w:rsidR="003A2DAD" w:rsidRPr="003A2DAD" w:rsidRDefault="00EA3FD9" w:rsidP="003A2DAD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3FD9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3A2DAD" w:rsidRPr="00EA3FD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3A2DAD" w:rsidRPr="003A2DAD">
        <w:rPr>
          <w:rFonts w:asciiTheme="minorHAnsi" w:eastAsia="Calibri" w:hAnsiTheme="minorHAnsi" w:cstheme="minorHAnsi"/>
          <w:sz w:val="24"/>
          <w:szCs w:val="24"/>
        </w:rPr>
        <w:t>Podstawy wykluczenia:</w:t>
      </w:r>
    </w:p>
    <w:p w14:paraId="35FA3319" w14:textId="77777777" w:rsidR="003A2DAD" w:rsidRPr="003A2DAD" w:rsidRDefault="003A2DAD" w:rsidP="003A2DAD">
      <w:pPr>
        <w:widowControl w:val="0"/>
        <w:tabs>
          <w:tab w:val="num" w:pos="0"/>
        </w:tabs>
        <w:spacing w:after="120" w:line="100" w:lineRule="atLeast"/>
        <w:ind w:left="851" w:hanging="3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color w:val="000000"/>
          <w:sz w:val="24"/>
          <w:szCs w:val="24"/>
        </w:rPr>
        <w:t>1.      Mając na uwadze przesłanki wykluczenia zawarte w art. 7 ust. 1, ustawy z dnia 13 kwietnia 2022 r. o szczególnych rozwiązaniach w zakresie przeciwdziałania wspieraniu agresji na Ukrainę oraz służących ochronie bezpieczeństwa narodowego z  postępowania wyklucza się:</w:t>
      </w:r>
    </w:p>
    <w:p w14:paraId="5A870FE3" w14:textId="77777777" w:rsidR="003A2DAD" w:rsidRPr="003A2DAD" w:rsidRDefault="003A2DAD" w:rsidP="003A2DAD">
      <w:pPr>
        <w:spacing w:before="100" w:beforeAutospacing="1" w:after="100" w:afterAutospacing="1" w:line="256" w:lineRule="auto"/>
        <w:ind w:left="1276" w:hanging="48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1)      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wykonawcę oraz uczestnika konkursu wymienionego w wykazach określonych w rozporządzeniu 765/2006 i rozporządzeniu 269/2014 albo wpisanego na listę na podstawie decyzji w sprawie wpisu na listę rozstrzygającej o zastosowaniu środka, o którym mowa w art. 1 pkt 3 ww. Ustawy; </w:t>
      </w:r>
    </w:p>
    <w:p w14:paraId="0A794E16" w14:textId="77777777" w:rsidR="003A2DAD" w:rsidRPr="003A2DAD" w:rsidRDefault="003A2DAD" w:rsidP="003A2DAD">
      <w:pPr>
        <w:spacing w:before="100" w:beforeAutospacing="1" w:after="100" w:afterAutospacing="1" w:line="256" w:lineRule="auto"/>
        <w:ind w:left="1276" w:hanging="48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2)       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AB55491" w14:textId="77777777" w:rsidR="003A2DAD" w:rsidRPr="003A2DAD" w:rsidRDefault="003A2DAD" w:rsidP="003A2DAD">
      <w:pPr>
        <w:spacing w:before="100" w:beforeAutospacing="1" w:after="100" w:afterAutospacing="1" w:line="256" w:lineRule="auto"/>
        <w:ind w:left="1276" w:hanging="48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3)     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wykonawcę oraz uczestnika konkursu, którego jednostką dominującą w  rozumieniu art. 3 ust. 1 pkt 37 ustawy z dnia 29 września 1994 r.  o  rachunkowości (Dz. U. z 2021 r. poz. 217, 2105 i 2106) jest podmiot wymieniony w wykazach określonych w rozporządzeniu 765/2006 i  rozporządzeniu 269/2014 albo wpisany na listę lub będący taką jednostką dominującą od dnia 24 lutego 2022 r., o ile został wpisany na listę na podstawie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decyzji w sprawie wpisu na listę rozstrzygającej o zastosowaniu środka, o którym mowa w art. 1 pkt 3 ww. ustawy.</w:t>
      </w:r>
    </w:p>
    <w:p w14:paraId="497A2FD1" w14:textId="77777777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2.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Wykluczenie następuje na okres trwania okoliczności określonych w pkt. 1.</w:t>
      </w:r>
    </w:p>
    <w:p w14:paraId="6F894967" w14:textId="43A2ED00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3.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W przypadku wykonawcy wykluczonego na podstawie pkt. 1, zamawiający odrzuca ofertę takiego wykonawcy w związku z art. 7 ust. 3 ustawy z dnia 7 kwietnia 2022 r. o szczególnych rozwiązaniach w zakresie przeciwdziałania wspieraniu agresji na Ukrainę oraz służących ochronie bezpieczeństwa narodowego</w:t>
      </w:r>
      <w:r w:rsidR="00EA3FD9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.</w:t>
      </w:r>
    </w:p>
    <w:p w14:paraId="00D1E484" w14:textId="208A4C91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4.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Przez ubieganie się o udzielenie zamówienia publicznego rozumie się złożenie oferty.</w:t>
      </w:r>
    </w:p>
    <w:p w14:paraId="0F38453E" w14:textId="77777777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5.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Osoba lub podmiot podlegające wykluczeniu na podstawie pkt. 1, które w okresie tego wykluczenia ubiegają się o udzielenie zamówienia publicznego lub biorą udział w postępowaniu o udzielenie zamówienia publicznego, podlegają karze pieniężnej.</w:t>
      </w:r>
    </w:p>
    <w:p w14:paraId="7CC51238" w14:textId="77777777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6.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Karę pieniężną, o której mowa w art. 7 ust. 6 ustawy o szczególnych rozwiązaniach w zakresie przeciwdziałania wspieraniu agresji na Ukrainę oraz służących ochronie bezpieczeństwa narodowego, nakłada Prezes Urzędu Zamówień Publicznych  w drodze decyzji, do wysokości 20 000 000 zł.</w:t>
      </w:r>
    </w:p>
    <w:p w14:paraId="2F58EA9D" w14:textId="77777777" w:rsidR="003A2DAD" w:rsidRPr="003A2DAD" w:rsidRDefault="003A2DAD" w:rsidP="003A2DAD">
      <w:pPr>
        <w:spacing w:line="256" w:lineRule="auto"/>
        <w:ind w:left="567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7.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W zakresie nieuregulowanym w art. 7 ust. 6 i 7 ustawy o szczególnych rozwiązaniach w  zakresie przeciwdziałania wspieraniu agresji na Ukrainę oraz służących ochronie bezpieczeństwa narodowego do nakładania i wymierzania kary pieniężnej, stosuje się przepisy działu </w:t>
      </w:r>
      <w:proofErr w:type="spellStart"/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IVa</w:t>
      </w:r>
      <w:proofErr w:type="spellEnd"/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z dnia 14 czerwca 1960 r. - Kodeks postępowania administracyjnego.</w:t>
      </w:r>
    </w:p>
    <w:p w14:paraId="012D5970" w14:textId="77777777" w:rsidR="003A2DAD" w:rsidRPr="003A2DAD" w:rsidRDefault="003A2DAD" w:rsidP="003A2DAD">
      <w:pPr>
        <w:numPr>
          <w:ilvl w:val="0"/>
          <w:numId w:val="11"/>
        </w:numPr>
        <w:spacing w:before="100" w:beforeAutospacing="1" w:line="25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101343542"/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Wpływy z kar pieniężnych, o których mowa w ust. 6 ustawy o szczególnych rozwiązaniach w zakresie przeciwdziałania wspieraniu agresji na Ukrainę oraz służących ochronie bezpieczeństwa narodowego, stanowią dochód budżetu państwa.</w:t>
      </w:r>
    </w:p>
    <w:p w14:paraId="22EE7087" w14:textId="68531A3B" w:rsidR="003A2DAD" w:rsidRPr="003A2DAD" w:rsidRDefault="003A2DAD" w:rsidP="003A2DAD">
      <w:pPr>
        <w:spacing w:before="100" w:beforeAutospacing="1" w:line="25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3A2DA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UWAGA!!!: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Zamawiający dokonuje weryfikacji braku zaistnienia tej podstawy wykluczenia w stosunku do konkretnego podmiotu za pomocą wszelkich dostępnych środków, np. za pomocą:</w:t>
      </w:r>
    </w:p>
    <w:p w14:paraId="305FBBE4" w14:textId="77777777" w:rsidR="003A2DAD" w:rsidRPr="003A2DAD" w:rsidRDefault="003A2DAD" w:rsidP="003A2DAD">
      <w:pPr>
        <w:spacing w:before="100" w:beforeAutospacing="1" w:after="100" w:afterAutospacing="1" w:line="256" w:lineRule="auto"/>
        <w:ind w:left="720" w:hanging="3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1)     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>ogólnodostępnych rejestrów takich jak Krajowy Rejestr Sądowy, Centralna Ewidencja i Informacja o Działalności Gospodarczej;</w:t>
      </w:r>
    </w:p>
    <w:p w14:paraId="63B7F34A" w14:textId="77777777" w:rsidR="003A2DAD" w:rsidRPr="003A2DAD" w:rsidRDefault="003A2DAD" w:rsidP="003A2DAD">
      <w:pPr>
        <w:spacing w:before="100" w:beforeAutospacing="1" w:after="100" w:afterAutospacing="1" w:line="256" w:lineRule="auto"/>
        <w:ind w:left="720" w:hanging="3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2)     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Centralny Rejestr Beneficjentów Rzeczywistych </w:t>
      </w:r>
      <w:bookmarkEnd w:id="0"/>
    </w:p>
    <w:p w14:paraId="22FD5971" w14:textId="77777777" w:rsidR="003A2DAD" w:rsidRPr="003A2DAD" w:rsidRDefault="003A2DAD" w:rsidP="003A2DAD">
      <w:pPr>
        <w:spacing w:before="100" w:beforeAutospacing="1" w:after="100" w:afterAutospacing="1" w:line="256" w:lineRule="auto"/>
        <w:ind w:left="720" w:hanging="3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3)      </w:t>
      </w:r>
      <w:r w:rsidRPr="003A2DAD">
        <w:rPr>
          <w:rFonts w:asciiTheme="minorHAnsi" w:eastAsiaTheme="minorHAnsi" w:hAnsiTheme="minorHAnsi" w:cstheme="minorHAnsi"/>
          <w:sz w:val="24"/>
          <w:szCs w:val="24"/>
          <w:lang w:eastAsia="en-US"/>
        </w:rPr>
        <w:t>wykazów określonych w rozporządzeniu 765/2006 i rozporządzeniu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A2DAD">
        <w:rPr>
          <w:rFonts w:asciiTheme="minorHAnsi" w:eastAsiaTheme="minorHAnsi" w:hAnsiTheme="minorHAnsi" w:cstheme="minorHAnsi"/>
          <w:sz w:val="24"/>
          <w:szCs w:val="24"/>
          <w:lang w:eastAsia="en-US"/>
        </w:rPr>
        <w:t>269/2014;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C5D0BAE" w14:textId="7341D276" w:rsidR="003A2DAD" w:rsidRDefault="003A2DAD" w:rsidP="003A2DAD">
      <w:pPr>
        <w:spacing w:line="256" w:lineRule="auto"/>
        <w:ind w:left="720" w:hanging="36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3A2DAD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4)      </w:t>
      </w:r>
      <w:r w:rsidRPr="003A2DA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listy Ministra właściwego do spraw wewnętrznych obejmującej osoby i podmioty, wobec których są stosowane środki, o których mowa w art. 1 </w:t>
      </w:r>
      <w:r w:rsidRPr="003A2DA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ustawy </w:t>
      </w:r>
      <w:r w:rsidRPr="003A2D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dnia 13 kwietnia 2022 r. </w:t>
      </w:r>
      <w:r w:rsidRPr="003A2DA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o szczególnych rozwiązaniach w zakresie przeciwdziałania wspieraniu agresji na Ukrainę oraz służących ochronie bezpieczeństwa narodowego. </w:t>
      </w:r>
    </w:p>
    <w:p w14:paraId="3F33FE64" w14:textId="77777777" w:rsidR="00EA3FD9" w:rsidRPr="003A2DAD" w:rsidRDefault="00EA3FD9" w:rsidP="003A2DAD">
      <w:pPr>
        <w:spacing w:line="256" w:lineRule="auto"/>
        <w:ind w:left="720" w:hanging="3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9CE6D46" w14:textId="188083FD" w:rsidR="00EA3FD9" w:rsidRPr="006561A8" w:rsidRDefault="00EA3FD9" w:rsidP="00EA3FD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6561A8">
        <w:rPr>
          <w:rFonts w:asciiTheme="minorHAnsi" w:hAnsiTheme="minorHAnsi" w:cstheme="minorHAnsi"/>
          <w:sz w:val="24"/>
          <w:szCs w:val="24"/>
        </w:rPr>
        <w:t>. Termin związania ofertą wynosi 30 dni od ostatecznego terminu składania ofert.</w:t>
      </w:r>
    </w:p>
    <w:p w14:paraId="3F42F7E9" w14:textId="77777777" w:rsidR="00EA3FD9" w:rsidRPr="006561A8" w:rsidRDefault="00EA3FD9" w:rsidP="00EA3F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2D8B8D" w14:textId="093CFFC5" w:rsidR="00EA3FD9" w:rsidRPr="006561A8" w:rsidRDefault="00EA3FD9" w:rsidP="00EA3FD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6561A8">
        <w:rPr>
          <w:rFonts w:asciiTheme="minorHAnsi" w:hAnsiTheme="minorHAnsi" w:cstheme="minorHAnsi"/>
          <w:sz w:val="24"/>
          <w:szCs w:val="24"/>
        </w:rPr>
        <w:t xml:space="preserve">. Warunki płatności: </w:t>
      </w:r>
    </w:p>
    <w:p w14:paraId="794F54E5" w14:textId="77777777" w:rsidR="00EA3FD9" w:rsidRDefault="00EA3FD9" w:rsidP="00EA3FD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C32CDD">
        <w:rPr>
          <w:rFonts w:asciiTheme="minorHAnsi" w:hAnsiTheme="minorHAnsi" w:cstheme="minorHAnsi"/>
          <w:sz w:val="24"/>
          <w:szCs w:val="24"/>
        </w:rPr>
        <w:t xml:space="preserve">Wynagrodzenie za faktycznie wykonane dostawy artykułów objętych tym postępowaniem nastąpi na podstawie prawidłowo wystawionej faktury VAT w terminie 14 dni. </w:t>
      </w:r>
    </w:p>
    <w:p w14:paraId="7378C9A1" w14:textId="77777777" w:rsidR="00EA3FD9" w:rsidRDefault="00EA3FD9" w:rsidP="00EA3FD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561A8">
        <w:rPr>
          <w:rFonts w:asciiTheme="minorHAnsi" w:hAnsiTheme="minorHAnsi" w:cstheme="minorHAnsi"/>
          <w:sz w:val="24"/>
          <w:szCs w:val="24"/>
          <w:u w:val="single"/>
        </w:rPr>
        <w:t>Wykonawca składający ofertę zapewnia niezmienność cen w całym okresie obowiązywania umowy.</w:t>
      </w:r>
    </w:p>
    <w:p w14:paraId="6406B3B5" w14:textId="77777777" w:rsidR="003A2DAD" w:rsidRPr="00EA3FD9" w:rsidRDefault="003A2DAD" w:rsidP="00F26A4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E2D5F" w14:textId="348B96DB" w:rsidR="00827853" w:rsidRPr="00EA3FD9" w:rsidRDefault="00F26A43" w:rsidP="00F26A4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3FD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3A2DAD" w:rsidRPr="00EA3FD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A3FD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27853" w:rsidRPr="00EA3FD9">
        <w:rPr>
          <w:rFonts w:asciiTheme="minorHAnsi" w:hAnsiTheme="minorHAnsi" w:cstheme="minorHAnsi"/>
          <w:color w:val="000000"/>
          <w:sz w:val="24"/>
          <w:szCs w:val="24"/>
        </w:rPr>
        <w:t>Realizacja umowy:</w:t>
      </w:r>
    </w:p>
    <w:p w14:paraId="7D8D1F02" w14:textId="77777777" w:rsidR="005B581A" w:rsidRPr="00EA3FD9" w:rsidRDefault="005B581A" w:rsidP="005B581A">
      <w:pPr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 xml:space="preserve">Zamówienia na dostawy będą składne partiami stosownie do potrzeb Zamawiającego, dostępnymi formami komunikacji </w:t>
      </w:r>
      <w:proofErr w:type="spellStart"/>
      <w:r w:rsidRPr="00EA3FD9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EA3FD9">
        <w:rPr>
          <w:rFonts w:asciiTheme="minorHAnsi" w:hAnsiTheme="minorHAnsi" w:cstheme="minorHAnsi"/>
          <w:sz w:val="24"/>
          <w:szCs w:val="24"/>
        </w:rPr>
        <w:t>: telefon, e-mail,</w:t>
      </w:r>
    </w:p>
    <w:p w14:paraId="29EB9B9F" w14:textId="77777777" w:rsidR="005B581A" w:rsidRPr="00EA3FD9" w:rsidRDefault="005B581A" w:rsidP="005B581A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dostawa towaru będzie następować w ciągu 3 dni roboczych od czasu złożenia zamówienia,</w:t>
      </w:r>
    </w:p>
    <w:p w14:paraId="4EBDDB08" w14:textId="77777777" w:rsidR="005B581A" w:rsidRPr="00EA3FD9" w:rsidRDefault="005B581A" w:rsidP="005B581A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dostawa wyłącznie w godzinach pracy Zamawiającego, tj. od godz.7:30-14:30 (poniedziałek-piątek), do miejsca wskazanego przez Zamawiającego (dotyczy wskazania obiektu ),</w:t>
      </w:r>
    </w:p>
    <w:p w14:paraId="6488AB8E" w14:textId="77777777" w:rsidR="005B581A" w:rsidRPr="00EA3FD9" w:rsidRDefault="005B581A" w:rsidP="005B581A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 xml:space="preserve"> minimalna kwota jednorazowego zamówienia wynosi 100 zł brutto.</w:t>
      </w:r>
    </w:p>
    <w:p w14:paraId="3C486E41" w14:textId="77777777" w:rsidR="00827853" w:rsidRPr="00EA3FD9" w:rsidRDefault="00827853" w:rsidP="008278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F65F8BB" w14:textId="0605D19C" w:rsidR="00F90DD2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1</w:t>
      </w:r>
      <w:r w:rsidR="003A2DAD" w:rsidRPr="00EA3FD9">
        <w:rPr>
          <w:rFonts w:asciiTheme="minorHAnsi" w:hAnsiTheme="minorHAnsi" w:cstheme="minorHAnsi"/>
          <w:sz w:val="24"/>
          <w:szCs w:val="24"/>
        </w:rPr>
        <w:t>2</w:t>
      </w:r>
      <w:r w:rsidRPr="00EA3FD9">
        <w:rPr>
          <w:rFonts w:asciiTheme="minorHAnsi" w:hAnsiTheme="minorHAnsi" w:cstheme="minorHAnsi"/>
          <w:sz w:val="24"/>
          <w:szCs w:val="24"/>
        </w:rPr>
        <w:t xml:space="preserve">. </w:t>
      </w:r>
      <w:r w:rsidR="00755197" w:rsidRPr="00EA3FD9">
        <w:rPr>
          <w:rFonts w:asciiTheme="minorHAnsi" w:hAnsiTheme="minorHAnsi" w:cstheme="minorHAnsi"/>
          <w:sz w:val="24"/>
          <w:szCs w:val="24"/>
        </w:rPr>
        <w:t xml:space="preserve">  </w:t>
      </w:r>
      <w:r w:rsidR="00827853" w:rsidRPr="00EA3FD9">
        <w:rPr>
          <w:rFonts w:asciiTheme="minorHAnsi" w:hAnsiTheme="minorHAnsi" w:cstheme="minorHAnsi"/>
          <w:sz w:val="24"/>
          <w:szCs w:val="24"/>
        </w:rPr>
        <w:t>Zamawiający dopuszcza składanie ofert częściowych na wybrane zadanie.</w:t>
      </w:r>
    </w:p>
    <w:p w14:paraId="2847087E" w14:textId="77777777" w:rsidR="00060C57" w:rsidRPr="00EA3FD9" w:rsidRDefault="00060C57" w:rsidP="00F90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ABF43F" w14:textId="481D93CD" w:rsidR="00A63410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1</w:t>
      </w:r>
      <w:r w:rsidR="003A2DAD" w:rsidRPr="00EA3FD9">
        <w:rPr>
          <w:rFonts w:asciiTheme="minorHAnsi" w:hAnsiTheme="minorHAnsi" w:cstheme="minorHAnsi"/>
          <w:sz w:val="24"/>
          <w:szCs w:val="24"/>
        </w:rPr>
        <w:t>3</w:t>
      </w:r>
      <w:r w:rsidRPr="00EA3FD9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EA3FD9">
        <w:rPr>
          <w:rFonts w:asciiTheme="minorHAnsi" w:hAnsiTheme="minorHAnsi" w:cstheme="minorHAnsi"/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31BC0AFF" w14:textId="77777777" w:rsidR="00060C57" w:rsidRPr="00EA3FD9" w:rsidRDefault="00060C57" w:rsidP="00F90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07B6C9" w14:textId="15FEA537" w:rsidR="00FC4274" w:rsidRDefault="00A63410" w:rsidP="00FC4274">
      <w:pPr>
        <w:jc w:val="both"/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1</w:t>
      </w:r>
      <w:r w:rsidR="003A2DAD" w:rsidRPr="00EA3FD9">
        <w:rPr>
          <w:rFonts w:asciiTheme="minorHAnsi" w:hAnsiTheme="minorHAnsi" w:cstheme="minorHAnsi"/>
          <w:sz w:val="24"/>
          <w:szCs w:val="24"/>
        </w:rPr>
        <w:t>4</w:t>
      </w:r>
      <w:r w:rsidRPr="00EA3FD9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EA3FD9">
        <w:rPr>
          <w:rFonts w:asciiTheme="minorHAnsi" w:hAnsiTheme="minorHAnsi" w:cstheme="minorHAnsi"/>
          <w:sz w:val="24"/>
          <w:szCs w:val="24"/>
        </w:rPr>
        <w:t>Zamawiający może unieważnić postępowanie jeżeli oferta  najkorzystniejsza przewyższa zaplanowaną przez Zamawiającego kwotę na realizację zamówienia.</w:t>
      </w:r>
    </w:p>
    <w:p w14:paraId="6514FAE2" w14:textId="77777777" w:rsidR="00060C57" w:rsidRPr="00EA3FD9" w:rsidRDefault="00060C57" w:rsidP="00FC4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AA8A0F" w14:textId="03A7A7D5" w:rsidR="00FC4274" w:rsidRPr="00EA3FD9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 w:rsidRPr="00EA3FD9">
        <w:rPr>
          <w:rFonts w:asciiTheme="minorHAnsi" w:hAnsiTheme="minorHAnsi" w:cstheme="minorHAnsi"/>
          <w:sz w:val="24"/>
          <w:szCs w:val="24"/>
        </w:rPr>
        <w:t>1</w:t>
      </w:r>
      <w:r w:rsidR="003A2DAD" w:rsidRPr="00EA3FD9">
        <w:rPr>
          <w:rFonts w:asciiTheme="minorHAnsi" w:hAnsiTheme="minorHAnsi" w:cstheme="minorHAnsi"/>
          <w:sz w:val="24"/>
          <w:szCs w:val="24"/>
        </w:rPr>
        <w:t>5</w:t>
      </w:r>
      <w:r w:rsidRPr="00EA3FD9"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EA3FD9">
        <w:rPr>
          <w:rFonts w:asciiTheme="minorHAnsi" w:hAnsiTheme="minorHAnsi"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14:paraId="61BB61F9" w14:textId="77777777" w:rsidR="00FC4274" w:rsidRPr="00EA3FD9" w:rsidRDefault="00FC4274" w:rsidP="00FC4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8801B5" w14:textId="77777777" w:rsidR="00CE5A46" w:rsidRPr="006561A8" w:rsidRDefault="00CE5A46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02F79" w14:textId="77777777" w:rsidR="00CE5A46" w:rsidRPr="00676321" w:rsidRDefault="00CE5A46" w:rsidP="00CE5A46">
      <w:pPr>
        <w:ind w:left="4248"/>
        <w:jc w:val="both"/>
        <w:rPr>
          <w:rFonts w:ascii="Calibri" w:hAnsi="Calibri" w:cs="Calibri"/>
        </w:rPr>
      </w:pPr>
      <w:r w:rsidRPr="00676321">
        <w:rPr>
          <w:rFonts w:ascii="Calibri" w:hAnsi="Calibri" w:cs="Calibri"/>
        </w:rPr>
        <w:t>Zatwierdził:</w:t>
      </w:r>
    </w:p>
    <w:p w14:paraId="4BEA1504" w14:textId="77777777" w:rsidR="00CE5A46" w:rsidRPr="00676321" w:rsidRDefault="00CE5A46" w:rsidP="00CE5A46">
      <w:pPr>
        <w:ind w:left="4248"/>
        <w:jc w:val="both"/>
        <w:rPr>
          <w:rFonts w:ascii="Calibri" w:hAnsi="Calibri" w:cs="Calibri"/>
        </w:rPr>
      </w:pPr>
      <w:r w:rsidRPr="00676321">
        <w:rPr>
          <w:rFonts w:ascii="Calibri" w:hAnsi="Calibri" w:cs="Calibri"/>
        </w:rPr>
        <w:t>Dyrektor Ośrodka Sportu i Rekreacji „Wyspiarz”</w:t>
      </w:r>
    </w:p>
    <w:p w14:paraId="6E350F0B" w14:textId="77777777" w:rsidR="00CE5A46" w:rsidRPr="00676321" w:rsidRDefault="00CE5A46" w:rsidP="00CE5A46">
      <w:pPr>
        <w:ind w:left="4248"/>
        <w:jc w:val="both"/>
        <w:rPr>
          <w:rFonts w:ascii="Calibri" w:hAnsi="Calibri" w:cs="Calibri"/>
        </w:rPr>
      </w:pPr>
      <w:r w:rsidRPr="00676321">
        <w:rPr>
          <w:rFonts w:ascii="Calibri" w:hAnsi="Calibri" w:cs="Calibri"/>
        </w:rPr>
        <w:t>mgr Marek Bartkowski</w:t>
      </w:r>
    </w:p>
    <w:p w14:paraId="3F824E29" w14:textId="77FAA6D7" w:rsidR="00906867" w:rsidRPr="006561A8" w:rsidRDefault="00906867" w:rsidP="00060C5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sectPr w:rsidR="00906867" w:rsidRPr="006561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DC8F" w14:textId="77777777" w:rsidR="003A2DAD" w:rsidRDefault="003A2DAD" w:rsidP="003A2DAD">
      <w:pPr>
        <w:spacing w:line="240" w:lineRule="auto"/>
      </w:pPr>
      <w:r>
        <w:separator/>
      </w:r>
    </w:p>
  </w:endnote>
  <w:endnote w:type="continuationSeparator" w:id="0">
    <w:p w14:paraId="207CF53B" w14:textId="77777777" w:rsidR="003A2DAD" w:rsidRDefault="003A2DAD" w:rsidP="003A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48E0" w14:textId="77777777" w:rsidR="003A2DAD" w:rsidRDefault="003A2DAD" w:rsidP="003A2DAD">
      <w:pPr>
        <w:spacing w:line="240" w:lineRule="auto"/>
      </w:pPr>
      <w:r>
        <w:separator/>
      </w:r>
    </w:p>
  </w:footnote>
  <w:footnote w:type="continuationSeparator" w:id="0">
    <w:p w14:paraId="23216177" w14:textId="77777777" w:rsidR="003A2DAD" w:rsidRDefault="003A2DAD" w:rsidP="003A2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A870" w14:textId="10CD68AE" w:rsidR="00A45852" w:rsidRDefault="008B46D5">
    <w:pPr>
      <w:pStyle w:val="Nagwek"/>
    </w:pPr>
    <w:r>
      <w:rPr>
        <w:noProof/>
      </w:rPr>
      <w:object w:dxaOrig="1440" w:dyaOrig="1440" w14:anchorId="7FECC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4.6pt;margin-top:16.5pt;width:310.35pt;height:49.9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PBrush" ShapeID="_x0000_s2049" DrawAspect="Content" ObjectID="_17687094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560B6"/>
    <w:multiLevelType w:val="hybridMultilevel"/>
    <w:tmpl w:val="DBB439D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C53D55"/>
    <w:multiLevelType w:val="multilevel"/>
    <w:tmpl w:val="7062CD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0DF9"/>
    <w:multiLevelType w:val="hybridMultilevel"/>
    <w:tmpl w:val="63ECE99E"/>
    <w:lvl w:ilvl="0" w:tplc="16D66CBE">
      <w:start w:val="1"/>
      <w:numFmt w:val="lowerLetter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2D0875"/>
    <w:multiLevelType w:val="hybridMultilevel"/>
    <w:tmpl w:val="1C8434B8"/>
    <w:lvl w:ilvl="0" w:tplc="0A84CC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6604BD"/>
    <w:multiLevelType w:val="hybridMultilevel"/>
    <w:tmpl w:val="CBD651D2"/>
    <w:lvl w:ilvl="0" w:tplc="16D66C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7687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745475">
    <w:abstractNumId w:val="6"/>
  </w:num>
  <w:num w:numId="3" w16cid:durableId="1819112026">
    <w:abstractNumId w:val="8"/>
  </w:num>
  <w:num w:numId="4" w16cid:durableId="209341814">
    <w:abstractNumId w:val="7"/>
  </w:num>
  <w:num w:numId="5" w16cid:durableId="1823351892">
    <w:abstractNumId w:val="0"/>
  </w:num>
  <w:num w:numId="6" w16cid:durableId="1478453785">
    <w:abstractNumId w:val="9"/>
  </w:num>
  <w:num w:numId="7" w16cid:durableId="1259437812">
    <w:abstractNumId w:val="1"/>
  </w:num>
  <w:num w:numId="8" w16cid:durableId="758716008">
    <w:abstractNumId w:val="4"/>
  </w:num>
  <w:num w:numId="9" w16cid:durableId="1767074580">
    <w:abstractNumId w:val="5"/>
  </w:num>
  <w:num w:numId="10" w16cid:durableId="879245231">
    <w:abstractNumId w:val="3"/>
  </w:num>
  <w:num w:numId="11" w16cid:durableId="182990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7898"/>
    <w:rsid w:val="0002290D"/>
    <w:rsid w:val="00034159"/>
    <w:rsid w:val="00036176"/>
    <w:rsid w:val="0005170C"/>
    <w:rsid w:val="00060C57"/>
    <w:rsid w:val="00067845"/>
    <w:rsid w:val="000718DD"/>
    <w:rsid w:val="00086A5E"/>
    <w:rsid w:val="0009359F"/>
    <w:rsid w:val="000B548D"/>
    <w:rsid w:val="000B762B"/>
    <w:rsid w:val="000C5D40"/>
    <w:rsid w:val="000D0486"/>
    <w:rsid w:val="00125AAC"/>
    <w:rsid w:val="0013342A"/>
    <w:rsid w:val="00142365"/>
    <w:rsid w:val="00153858"/>
    <w:rsid w:val="00180AE4"/>
    <w:rsid w:val="001933CB"/>
    <w:rsid w:val="00197503"/>
    <w:rsid w:val="001D07FF"/>
    <w:rsid w:val="001E6C56"/>
    <w:rsid w:val="001F438A"/>
    <w:rsid w:val="0022202D"/>
    <w:rsid w:val="002270CD"/>
    <w:rsid w:val="002374D5"/>
    <w:rsid w:val="00254CAD"/>
    <w:rsid w:val="00266552"/>
    <w:rsid w:val="002B52F4"/>
    <w:rsid w:val="002C18F0"/>
    <w:rsid w:val="002D2539"/>
    <w:rsid w:val="002D3845"/>
    <w:rsid w:val="002F6E3C"/>
    <w:rsid w:val="00300A83"/>
    <w:rsid w:val="00314E3B"/>
    <w:rsid w:val="00350CD8"/>
    <w:rsid w:val="0037053A"/>
    <w:rsid w:val="0037691E"/>
    <w:rsid w:val="00390E3A"/>
    <w:rsid w:val="00396383"/>
    <w:rsid w:val="003A2DAD"/>
    <w:rsid w:val="003B75C9"/>
    <w:rsid w:val="003C36F3"/>
    <w:rsid w:val="003C490F"/>
    <w:rsid w:val="003C6281"/>
    <w:rsid w:val="003C714A"/>
    <w:rsid w:val="003E0901"/>
    <w:rsid w:val="003E7FA5"/>
    <w:rsid w:val="004112D0"/>
    <w:rsid w:val="004263AF"/>
    <w:rsid w:val="004509B6"/>
    <w:rsid w:val="004611DB"/>
    <w:rsid w:val="004624D4"/>
    <w:rsid w:val="004661FF"/>
    <w:rsid w:val="004B499D"/>
    <w:rsid w:val="004C3BB3"/>
    <w:rsid w:val="004D39BF"/>
    <w:rsid w:val="004D4122"/>
    <w:rsid w:val="0054258D"/>
    <w:rsid w:val="00564D69"/>
    <w:rsid w:val="005A2715"/>
    <w:rsid w:val="005A384D"/>
    <w:rsid w:val="005B581A"/>
    <w:rsid w:val="005C7499"/>
    <w:rsid w:val="005D08BA"/>
    <w:rsid w:val="005E1DEB"/>
    <w:rsid w:val="00601F6A"/>
    <w:rsid w:val="006561A8"/>
    <w:rsid w:val="00656372"/>
    <w:rsid w:val="00670C13"/>
    <w:rsid w:val="006A1AB8"/>
    <w:rsid w:val="006D459D"/>
    <w:rsid w:val="006E2BC8"/>
    <w:rsid w:val="006E5815"/>
    <w:rsid w:val="006E6948"/>
    <w:rsid w:val="00713878"/>
    <w:rsid w:val="00716694"/>
    <w:rsid w:val="00733FCD"/>
    <w:rsid w:val="007467B2"/>
    <w:rsid w:val="00751FEA"/>
    <w:rsid w:val="00755197"/>
    <w:rsid w:val="00771F21"/>
    <w:rsid w:val="007A07DE"/>
    <w:rsid w:val="007A4480"/>
    <w:rsid w:val="007C2B08"/>
    <w:rsid w:val="007D6745"/>
    <w:rsid w:val="007F65A5"/>
    <w:rsid w:val="00801141"/>
    <w:rsid w:val="00803B17"/>
    <w:rsid w:val="008049B8"/>
    <w:rsid w:val="0081460C"/>
    <w:rsid w:val="00815A83"/>
    <w:rsid w:val="00824DE3"/>
    <w:rsid w:val="00827853"/>
    <w:rsid w:val="00840136"/>
    <w:rsid w:val="008433EA"/>
    <w:rsid w:val="008519D2"/>
    <w:rsid w:val="00857B23"/>
    <w:rsid w:val="00865711"/>
    <w:rsid w:val="008835DB"/>
    <w:rsid w:val="008A0F07"/>
    <w:rsid w:val="008A23C4"/>
    <w:rsid w:val="008B46D5"/>
    <w:rsid w:val="008C3CAA"/>
    <w:rsid w:val="008D4A48"/>
    <w:rsid w:val="008F047E"/>
    <w:rsid w:val="008F1283"/>
    <w:rsid w:val="008F12E0"/>
    <w:rsid w:val="00906867"/>
    <w:rsid w:val="00914EAB"/>
    <w:rsid w:val="0093334E"/>
    <w:rsid w:val="009376D9"/>
    <w:rsid w:val="009428AC"/>
    <w:rsid w:val="0095508E"/>
    <w:rsid w:val="00956D2E"/>
    <w:rsid w:val="00965846"/>
    <w:rsid w:val="00977258"/>
    <w:rsid w:val="009964F9"/>
    <w:rsid w:val="009B1382"/>
    <w:rsid w:val="009B3DCC"/>
    <w:rsid w:val="009B6DAA"/>
    <w:rsid w:val="009D0F00"/>
    <w:rsid w:val="00A112DC"/>
    <w:rsid w:val="00A12531"/>
    <w:rsid w:val="00A138FD"/>
    <w:rsid w:val="00A15B4A"/>
    <w:rsid w:val="00A3282F"/>
    <w:rsid w:val="00A45852"/>
    <w:rsid w:val="00A63410"/>
    <w:rsid w:val="00A64DFE"/>
    <w:rsid w:val="00A75E0A"/>
    <w:rsid w:val="00A767D8"/>
    <w:rsid w:val="00A96FEF"/>
    <w:rsid w:val="00AA78CD"/>
    <w:rsid w:val="00AD0FB8"/>
    <w:rsid w:val="00AE0679"/>
    <w:rsid w:val="00AE3C85"/>
    <w:rsid w:val="00B016D9"/>
    <w:rsid w:val="00B07943"/>
    <w:rsid w:val="00B162D2"/>
    <w:rsid w:val="00B21AF4"/>
    <w:rsid w:val="00B2515E"/>
    <w:rsid w:val="00B46579"/>
    <w:rsid w:val="00B8273F"/>
    <w:rsid w:val="00B82F8B"/>
    <w:rsid w:val="00BA2C9A"/>
    <w:rsid w:val="00BB12A0"/>
    <w:rsid w:val="00BC2053"/>
    <w:rsid w:val="00BD0E58"/>
    <w:rsid w:val="00BE7D39"/>
    <w:rsid w:val="00C00089"/>
    <w:rsid w:val="00C01E81"/>
    <w:rsid w:val="00C13479"/>
    <w:rsid w:val="00C23D5C"/>
    <w:rsid w:val="00C32CDD"/>
    <w:rsid w:val="00C53310"/>
    <w:rsid w:val="00C67DBE"/>
    <w:rsid w:val="00C93385"/>
    <w:rsid w:val="00CA7D86"/>
    <w:rsid w:val="00CB7BEC"/>
    <w:rsid w:val="00CC2D49"/>
    <w:rsid w:val="00CD2C00"/>
    <w:rsid w:val="00CE5A46"/>
    <w:rsid w:val="00CF4EB0"/>
    <w:rsid w:val="00D00781"/>
    <w:rsid w:val="00D22CFF"/>
    <w:rsid w:val="00D33249"/>
    <w:rsid w:val="00D34270"/>
    <w:rsid w:val="00D51B3D"/>
    <w:rsid w:val="00D558E3"/>
    <w:rsid w:val="00D62A67"/>
    <w:rsid w:val="00D82FF1"/>
    <w:rsid w:val="00D84365"/>
    <w:rsid w:val="00D84575"/>
    <w:rsid w:val="00DA20F0"/>
    <w:rsid w:val="00DA3B77"/>
    <w:rsid w:val="00DF11EA"/>
    <w:rsid w:val="00E47CC9"/>
    <w:rsid w:val="00E5171B"/>
    <w:rsid w:val="00E620D8"/>
    <w:rsid w:val="00E87D1B"/>
    <w:rsid w:val="00E87F2F"/>
    <w:rsid w:val="00E91DB7"/>
    <w:rsid w:val="00EA3FD9"/>
    <w:rsid w:val="00EC1B52"/>
    <w:rsid w:val="00ED0CD4"/>
    <w:rsid w:val="00ED2987"/>
    <w:rsid w:val="00F14539"/>
    <w:rsid w:val="00F21F93"/>
    <w:rsid w:val="00F26A43"/>
    <w:rsid w:val="00F433A5"/>
    <w:rsid w:val="00F63AE7"/>
    <w:rsid w:val="00F77CED"/>
    <w:rsid w:val="00F80843"/>
    <w:rsid w:val="00F84EB9"/>
    <w:rsid w:val="00F90DD2"/>
    <w:rsid w:val="00FC070B"/>
    <w:rsid w:val="00FC4274"/>
    <w:rsid w:val="00FD0D63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19D2"/>
    <w:pPr>
      <w:keepNext/>
      <w:spacing w:before="240" w:after="60" w:line="240" w:lineRule="auto"/>
      <w:outlineLvl w:val="2"/>
    </w:pPr>
    <w:rPr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9D2"/>
    <w:rPr>
      <w:rFonts w:ascii="Arial" w:eastAsia="Arial" w:hAnsi="Arial" w:cs="Arial"/>
      <w:b/>
      <w:bCs/>
      <w:sz w:val="26"/>
      <w:szCs w:val="2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78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283"/>
    <w:rPr>
      <w:rFonts w:ascii="Arial" w:eastAsia="Arial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3A2D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5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5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enderska@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7DD2-2439-4E34-B640-734212D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291</cp:revision>
  <cp:lastPrinted>2021-12-29T11:31:00Z</cp:lastPrinted>
  <dcterms:created xsi:type="dcterms:W3CDTF">2021-05-17T06:52:00Z</dcterms:created>
  <dcterms:modified xsi:type="dcterms:W3CDTF">2024-02-06T06:24:00Z</dcterms:modified>
</cp:coreProperties>
</file>