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Jednolity europejski dokument zamówienia (ESPD)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80" w:line="283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Część I: Informacje dotyczące postępowania o udzielenie zamówienia oraz instytucji zamawiającej lub podmiotu zamawiającego</w:t>
      </w:r>
      <w:bookmarkEnd w:id="2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10"/>
          <w:b/>
          <w:bCs/>
          <w:color w:val="FFFFFF"/>
        </w:rPr>
        <w:t>Informacje na temat publikacji</w:t>
      </w:r>
      <w:bookmarkEnd w:id="4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Numer ogłoszenia w Dz.U. S: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2023/S 181-566738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Krajowy dziennik urzędowy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60"/>
        <w:jc w:val="left"/>
      </w:pPr>
      <w:bookmarkStart w:id="7" w:name="bookmark7"/>
      <w:r>
        <w:rPr>
          <w:rStyle w:val="CharStyle10"/>
          <w:b/>
          <w:bCs/>
          <w:color w:val="FFFFFF"/>
        </w:rPr>
        <w:t>'ożsamość zamawiającego</w:t>
      </w:r>
      <w:bookmarkEnd w:id="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Oficjalna nazwa: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Gmina Bobolice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13"/>
        </w:rPr>
        <w:t>Polska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10"/>
          <w:b/>
          <w:bCs/>
          <w:color w:val="FFFFFF"/>
        </w:rPr>
        <w:t>Informacje na temat postępowania o udzielenie zamówienia</w:t>
      </w:r>
      <w:bookmarkEnd w:id="1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rStyle w:val="CharStyle10"/>
          <w:b/>
          <w:bCs/>
        </w:rPr>
        <w:t>Rodzaj procedury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Procedura otwarta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Tytuł: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„Odbiór, wywóz i zagospodarowanie odpadów komunalnych objętych systemem gospodarowania odpadami komunalnymi z terenu gminy Bobolice i zagospodarowanie odpadów komunalnych odebranych z PSZOK i MPSZOK oraz wyposażenie PSZOK”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Krótki opis: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 xml:space="preserve">Przedmiotem zamówienia jest realizacja zadania pn. „Odbiór, wywóz i zagospodarowanie odpadów komunalnych objętych systemem gospodarowania </w:t>
      </w:r>
      <w:r>
        <w:rPr>
          <w:rStyle w:val="CharStyle13"/>
        </w:rPr>
        <w:t>odpadami komunalnymi z terenu gminy Bobolice i zagospodarowanie odpadów komunalnych odebranych z PSZOK i MPSZOK oraz wyposażenie PSZOK”. Opis przedmiotu zamówienia zawarty jest w SWZ w Rozdziale B „Opis przedmiotu zamówienia”. Przedmiot zamówienia składa się z 3 następujących zadań: Zadanie I: Odbiór, wywóz i zagospodarowanie odpadów komunalnych zbieranych selektywnie od mieszkańców z terenu gminy Bobolice z wyłączeniem zagospodarowania odpadów o kodach 200201 i 200301. Zadanie II: Zagospodarowanie zmieszanych odpadów komunalnych oraz bioodpadów w tym odpadów zielonych odebranych od mieszkańców z terenu gminy Bobolice. Zadanie III: Wyposażenie oraz odbiór, wywóz i zagospodarowanie odpadów ze stacjonarnego PSZOK oraz obsługa MPSZOK.. Wszystkie zapisy SWZ i załączniki dotyczące przedmiotu zamówienia rozpatrywać należy łącznie - wraz z wszystkimi załączonymi dokumentami (kompleksowo).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Numer referencyjny nadany sprawie przez instytucję zamawiającą lub podmiot zamawiający (jeżeli dotyczy):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rStyle w:val="CharStyle13"/>
        </w:rPr>
        <w:t>ZP.271.1.8.2023.SZ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bookmarkStart w:id="13" w:name="bookmark13"/>
      <w:r>
        <w:rPr>
          <w:rStyle w:val="CharStyle8"/>
          <w:b/>
          <w:bCs/>
        </w:rPr>
        <w:t>Część II: Informacje dotyczące wykonawcy</w:t>
      </w:r>
      <w:bookmarkEnd w:id="13"/>
    </w:p>
    <w:p>
      <w:pPr>
        <w:pStyle w:val="Style9"/>
        <w:keepNext/>
        <w:keepLines/>
        <w:widowControl w:val="0"/>
        <w:numPr>
          <w:ilvl w:val="0"/>
          <w:numId w:val="1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65" w:val="left"/>
        </w:tabs>
        <w:bidi w:val="0"/>
        <w:spacing w:before="0" w:after="0" w:line="240" w:lineRule="auto"/>
        <w:ind w:left="0" w:right="0" w:firstLine="140"/>
        <w:jc w:val="left"/>
      </w:pPr>
      <w:bookmarkStart w:id="15" w:name="bookmark15"/>
      <w:r>
        <w:rPr>
          <w:rStyle w:val="CharStyle10"/>
          <w:b/>
          <w:bCs/>
          <w:color w:val="FFFFFF"/>
        </w:rPr>
        <w:t>Informacje na temat wykonawcy</w:t>
      </w:r>
      <w:bookmarkEnd w:id="15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  <w:b/>
          <w:bCs/>
        </w:rPr>
        <w:t>Nazwa: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rStyle w:val="CharStyle10"/>
          <w:b/>
          <w:bCs/>
        </w:rPr>
        <w:t>Ulica i numer:</w:t>
      </w:r>
      <w:bookmarkEnd w:id="1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Kod pocztowy: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Miejscowość: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rStyle w:val="CharStyle10"/>
          <w:b/>
          <w:bCs/>
        </w:rPr>
        <w:t>Państwo:</w:t>
      </w:r>
      <w:bookmarkEnd w:id="2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Adres internetowy (adres www) (jeżeli dotyczy):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rStyle w:val="CharStyle10"/>
          <w:b/>
          <w:bCs/>
        </w:rPr>
        <w:t>E-mail:</w:t>
      </w:r>
      <w:bookmarkEnd w:id="2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r>
        <w:rPr>
          <w:rStyle w:val="CharStyle10"/>
          <w:b/>
          <w:bCs/>
        </w:rPr>
        <w:t>Telefon:</w:t>
      </w:r>
      <w:bookmarkEnd w:id="2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13"/>
          <w:b/>
          <w:bCs/>
        </w:rPr>
        <w:t>Osoba(-y) wyznaczona(-e) do kontaktów: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Numer VAT (jeżeli dotyczy):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Jeżeli numer VAT nie ma zastosowania, proszę podać inny krajowy numer identyfikacyjny, jeżeli jest wymagany i ma zastosowanie.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jest mikroprzedsiębiorstwem bądź małym lub średnim przedsiębiorstwem?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24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Jaki jest odpowiedni odsetek pracowników niepełnosprawnych lub defaworyzowanych?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jest to wymagane, proszę określić, do której kategorii lub których kategorii pracowników niepełnosprawnych lub defaworyzowanych należą dani pracownicy.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stosownych przypadkach, czy wykonawca jest wpisany do urzędowego wykazu zatwierdzonych wykonawców lub posiada równoważne zaświadczenie (np. w ramach krajowego systemu (wstępnego) kwalifikowania)?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Proszę podać odpowiedni numer rejestracyjny lub numer zaświadczenia, jeżeli dotyczy: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324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Jeżeli poświadczenie wpisu do wykazu lub wydania zaświadczenia jest dostępne w formie elektronicznej, proszę podać: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Proszę podać dane referencyjne stanowiące podstawę wpisu do wykazu lub wydania zaświadczenia oraz, w stosownych przypadkach, klasyfikację nadaną w urzędowym wykazie: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Czy wpis do wykazu lub wydane zaświadczenie obejmują wszystkie wymagane kryteria kwalifikacji?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7" w:val="left"/>
        </w:tabs>
        <w:bidi w:val="0"/>
        <w:spacing w:before="0" w:after="160"/>
        <w:ind w:left="520" w:right="0" w:hanging="220"/>
        <w:jc w:val="left"/>
      </w:pPr>
      <w:r>
        <w:rPr>
          <w:rStyle w:val="CharStyle13"/>
        </w:rPr>
        <w:t>Proszę dodatkowo uzupełnić brakujące informacje w części IV w sekcjach A, B, C lub D, w zależności od przypadku, WYŁĄCZNIE jeżeli jest to wymagane w danym ogłoszeniu lub dokumentach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odnośna dokumentacja jest dostępna w formie elektronicznej, proszę wskazać: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bierze udział w postępowaniu o udzielenie zamówienia wspólnie z innymi wykonawcami?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7" w:val="left"/>
        </w:tabs>
        <w:bidi w:val="0"/>
        <w:spacing w:before="0" w:after="160"/>
        <w:ind w:left="520" w:right="0" w:hanging="220"/>
        <w:jc w:val="left"/>
      </w:pPr>
      <w:r>
        <w:rPr>
          <w:rStyle w:val="CharStyle13"/>
        </w:rPr>
        <w:t>Proszę dopilnować, aby pozostali uczestnicy przedstawili odrębne jednolite europejskie dokumenty zamówienia.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Proszę wskazać rolę wykonawcy w grupie (lider, odpowiedzialny za określone zadania itd.):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wskazać pozostałych wykonawców biorących wspólnie udział w postępowaniu o udzielenie zamówienia: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1" w:val="left"/>
        </w:tabs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W stosownych przypadkach, nazwa grupy biorącej udział: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20"/>
        <w:ind w:left="0" w:right="0" w:firstLine="0"/>
        <w:jc w:val="left"/>
      </w:pPr>
      <w:r>
        <w:rPr>
          <w:rStyle w:val="CharStyle13"/>
          <w:b/>
          <w:bCs/>
        </w:rPr>
        <w:t>W stosownych przypadkach, wskazanie części zamówienia, w odniesieniu do której (których) wykonawca zamierza złożyć ofertę: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0" w:val="left"/>
        </w:tabs>
        <w:bidi w:val="0"/>
        <w:spacing w:before="0" w:after="440"/>
        <w:ind w:left="0" w:right="0" w:firstLine="0"/>
        <w:jc w:val="left"/>
      </w:pPr>
      <w:r>
        <w:rPr>
          <w:rStyle w:val="CharStyle13"/>
          <w:b/>
          <w:bCs/>
        </w:rPr>
        <w:t>Informacje na temat przedstawicieli wykonawcy #1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500" w:right="0" w:hanging="20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Imię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Nazwisko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Data urodzenia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Miejsce urodzenia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Ulica i numer: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Kod pocztowy: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Miejscowość: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E-mail: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rStyle w:val="CharStyle13"/>
          <w:b/>
          <w:bCs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</w:rPr>
        <w:t xml:space="preserve">Stanowisko/Działający(-a) jako: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r>
        <w:rPr>
          <w:rStyle w:val="CharStyle13"/>
          <w:b/>
          <w:bCs/>
        </w:rPr>
        <w:t>W razie potrzeby proszę podać szczegółowe informacje dotyczące przedstawicielstwa (jego form, zakresu, celu itd.):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6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Informacje na temat polegania na zdolności innych podmiotów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polega na zdolności innych podmiotów w celu spełnienia kryteriów kwalifikacji określonych poniżej w części IV oraz (ewentualnych) kryteriów i zasad określonych poniżej w części V?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7" w:val="left"/>
        </w:tabs>
        <w:bidi w:val="0"/>
        <w:spacing w:before="0" w:after="0"/>
        <w:ind w:left="500" w:right="0" w:hanging="200"/>
        <w:jc w:val="both"/>
      </w:pPr>
      <w:r>
        <w:rPr>
          <w:rStyle w:val="CharStyle13"/>
        </w:rP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/>
        <w:ind w:left="500" w:right="0" w:firstLine="0"/>
        <w:jc w:val="both"/>
      </w:pPr>
      <w:r>
        <w:rPr>
          <w:rStyle w:val="CharStyle13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26" w:line="329" w:lineRule="auto"/>
        <w:ind w:left="0" w:right="0" w:firstLine="0"/>
        <w:jc w:val="left"/>
      </w:pPr>
      <w:bookmarkStart w:id="26" w:name="bookmark26"/>
      <w:r>
        <w:rPr>
          <w:rStyle w:val="CharStyle10"/>
          <w:b/>
          <w:bCs/>
          <w:color w:val="FFFFFF"/>
        </w:rPr>
        <w:t>D: Informacje dotyczące podwykonawców, na których zdolności wykonawca nie polega</w:t>
      </w:r>
      <w:bookmarkEnd w:id="26"/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7" w:val="left"/>
        </w:tabs>
        <w:bidi w:val="0"/>
        <w:spacing w:before="0" w:after="160"/>
        <w:ind w:left="500" w:right="0" w:hanging="200"/>
        <w:jc w:val="left"/>
      </w:pPr>
      <w:r>
        <w:rPr>
          <w:rStyle w:val="CharStyle13"/>
        </w:rPr>
        <w:t>(Sekcja, którą należy wypełnić jedynie w przypadku, gdy instytucja zamawiająca lub podmiot zamawiający wprost tego zażąda.)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28" w:name="bookmark28"/>
      <w:r>
        <w:rPr>
          <w:rStyle w:val="CharStyle10"/>
          <w:b/>
          <w:bCs/>
        </w:rPr>
        <w:t>Czy wykonawca zamierza zlecić osobom trzecim podwykonawstwo jakiejkolwiek części zamówienia?</w:t>
      </w:r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13"/>
          <w:b/>
          <w:bCs/>
        </w:rPr>
        <w:t>Jeżeli tak i o ile jest to wiadome, proszę podać wykaz proponowanych podwykonawców: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7" w:val="left"/>
        </w:tabs>
        <w:bidi w:val="0"/>
        <w:spacing w:before="0" w:after="140"/>
        <w:ind w:left="520" w:right="0" w:hanging="220"/>
        <w:jc w:val="left"/>
      </w:pPr>
      <w:r>
        <w:rPr>
          <w:rStyle w:val="CharStyle13"/>
        </w:rPr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30" w:name="bookmark30"/>
      <w:r>
        <w:rPr>
          <w:rStyle w:val="CharStyle8"/>
          <w:b/>
          <w:bCs/>
        </w:rPr>
        <w:t>Część III: Podstawy wykluczenia</w:t>
      </w:r>
      <w:bookmarkEnd w:id="30"/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85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rStyle w:val="CharStyle13"/>
          <w:b/>
          <w:bCs/>
          <w:color w:val="FFFFFF"/>
        </w:rPr>
        <w:t>Podstawy związane z wyrokami skazującymi za przestępstwo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1 dyrektywy 2014/24/UE określono następujące powody wykluczenia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udział w organizacji przestępczej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46" w:lineRule="auto"/>
        <w:ind w:left="0" w:right="0" w:firstLine="0"/>
        <w:jc w:val="left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b/>
          <w:bCs/>
        </w:rPr>
        <w:t>korupcja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nadużycie finansowe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</w:t>
      </w:r>
      <w:r>
        <w:rPr>
          <w:rStyle w:val="CharStyle13"/>
        </w:rPr>
        <w:t>nadal obowiązuje? W rozumieniu art. 1 Konwencji w sprawie ochrony interesów finansowych Wspólnot Europejskich (Dz.U. C 316 z 27.11.1995, s. 48).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32" w:name="bookmark32"/>
      <w:r>
        <w:rPr>
          <w:rStyle w:val="CharStyle10"/>
          <w:b/>
          <w:bCs/>
        </w:rPr>
        <w:t>URL</w:t>
      </w:r>
      <w:bookmarkEnd w:id="3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4" w:name="bookmark34"/>
      <w:r>
        <w:rPr>
          <w:rStyle w:val="CharStyle10"/>
          <w:b/>
          <w:bCs/>
        </w:rPr>
        <w:t>kod</w:t>
      </w:r>
      <w:bookmarkEnd w:id="3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przestępstwa terrorystyczne lub przestępstwa związane z działalnością terrorystyczną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6" w:name="bookmark36"/>
      <w:r>
        <w:rPr>
          <w:rStyle w:val="CharStyle10"/>
          <w:b/>
          <w:bCs/>
        </w:rPr>
        <w:t>URL</w:t>
      </w:r>
      <w:bookmarkEnd w:id="3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8" w:name="bookmark38"/>
      <w:r>
        <w:rPr>
          <w:rStyle w:val="CharStyle10"/>
          <w:b/>
          <w:bCs/>
        </w:rPr>
        <w:t>kod</w:t>
      </w:r>
      <w:bookmarkEnd w:id="3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pranie pieniędzy lub finansowanie terroryzmu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bookmarkStart w:id="40" w:name="bookmark40"/>
      <w:r>
        <w:rPr>
          <w:rStyle w:val="CharStyle10"/>
          <w:b/>
          <w:bCs/>
        </w:rPr>
        <w:t>URL</w:t>
      </w:r>
      <w:bookmarkEnd w:id="4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2" w:name="bookmark42"/>
      <w:r>
        <w:rPr>
          <w:rStyle w:val="CharStyle10"/>
          <w:b/>
          <w:bCs/>
        </w:rPr>
        <w:t>kod</w:t>
      </w:r>
      <w:bookmarkEnd w:id="4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praca dzieci i inne formy handlu ludźmi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</w:t>
      </w:r>
      <w:r>
        <w:rPr>
          <w:rStyle w:val="CharStyle13"/>
        </w:rPr>
        <w:t>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bookmarkStart w:id="44" w:name="bookmark44"/>
      <w:r>
        <w:rPr>
          <w:rStyle w:val="CharStyle10"/>
          <w:b/>
          <w:bCs/>
        </w:rPr>
        <w:t>URL</w:t>
      </w:r>
      <w:bookmarkEnd w:id="4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6" w:name="bookmark46"/>
      <w:r>
        <w:rPr>
          <w:rStyle w:val="CharStyle10"/>
          <w:b/>
          <w:bCs/>
        </w:rPr>
        <w:t>kod</w:t>
      </w:r>
      <w:bookmarkEnd w:id="4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 w:line="346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26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Podstawy związane z płatnością podatków lub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2 dyrektywy 2014/24/UE określono następujące powody wykluczenia płatność podatków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  <w:b/>
          <w:bCs/>
        </w:rPr>
        <w:t>kwota, której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48" w:name="bookmark48"/>
      <w:r>
        <w:rPr>
          <w:rStyle w:val="CharStyle10"/>
          <w:b/>
          <w:bCs/>
        </w:rPr>
        <w:t>URL</w:t>
      </w:r>
      <w:bookmarkEnd w:id="4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0" w:name="bookmark50"/>
      <w:r>
        <w:rPr>
          <w:rStyle w:val="CharStyle10"/>
          <w:b/>
          <w:bCs/>
        </w:rPr>
        <w:t>kod</w:t>
      </w:r>
      <w:bookmarkEnd w:id="5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46" w:lineRule="auto"/>
        <w:ind w:left="0" w:right="0" w:firstLine="0"/>
        <w:jc w:val="left"/>
      </w:pPr>
      <w:r>
        <w:rPr>
          <w:rStyle w:val="CharStyle13"/>
          <w:b/>
          <w:bCs/>
        </w:rPr>
        <w:t>płatność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kwota, której to dotyczy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2" w:name="bookmark52"/>
      <w:r>
        <w:rPr>
          <w:rStyle w:val="CharStyle10"/>
          <w:b/>
          <w:bCs/>
        </w:rPr>
        <w:t>URL</w:t>
      </w:r>
      <w:bookmarkEnd w:id="5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4" w:name="bookmark54"/>
      <w:r>
        <w:rPr>
          <w:rStyle w:val="CharStyle10"/>
          <w:b/>
          <w:bCs/>
        </w:rPr>
        <w:t>kod</w:t>
      </w:r>
      <w:bookmarkEnd w:id="5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tabs>
          <w:tab w:pos="43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  <w:color w:val="FFFFFF"/>
        </w:rPr>
        <w:t>Podstawy związane z niewypłacalnością, konfliktem interesów lub wykroczeniami zawodowymi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4 dyrektywy 2014/24/UE określono następujące powody wykluczenia naruszenie obowiązków w dziedzinie prawa ochrony środowiska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socjalnego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pracy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pracy?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upadłość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znajduje się w stanie upadłości?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niewypłacalność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jest objęty postępowaniem upadłościowym lub likwidacyjnym?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b/>
          <w:bCs/>
        </w:rPr>
        <w:t>układ z wierzycielami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zawarł układ z wierzycielami?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inna sytuacja podobna do upadłości wynikająca z prawa krajowego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znajduje się w innej sytuacji podobnej do upadłości wynikającej z podobnej procedury przewidzianej w krajowych przepisach ustawowych i wykonawczych?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aktywami zarządza likwidator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aktywami wykonawcy zarządza likwidator lub sąd?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 xml:space="preserve">URL </w:t>
      </w: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działalność gospodarcza jest zawieszona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działalność gospodarcza wykonawcy jest zawieszona?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porozumienia z innymi wykonawcami mające na celu zakłócenie konkurencji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zawarł z innymi wykonawcami porozumienia mające na celu zakłócenie konkurencji?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winien poważnego wykroczenia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jest winien poważnego wykroczenia zawodowego? W stosownych przypadkach zob. definicje w prawie krajowym, stosownym ogłoszeniu lub dokumentach zamówienia.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konflikt interesów spowodowany udziałem w postępowaniu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wie o jakimkolwiek konflikcie interesów - jak wskazano w prawie krajowym, stosownym ogłoszeniu lub dokumentach zamówienia - spowodowanym jego udziałem w postępowaniu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  <w:b/>
          <w:bCs/>
        </w:rPr>
        <w:t>bezpośrednie lub pośrednie zaangażowanie w przygotowanie przedmiotowego postępowania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rozwiązanie umowy przed czasem, odszkodowania lub inne porównywalne sankcje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winien wprowadzenia w błąd, zatajenia informacji lub niemożności przedstawienia wymaganych dokumentów lub uzyskania poufnych informacji na temat przedmiotowego postępowania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znalazł się w jednej z poniższych sytuacji: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był winny poważnego wprowadzenia w błąd przy dostarczaniu informacji wymaganych do weryfikacji braku podstaw wykluczenia lub do weryfikacji spełnienia kryteriów kwalifikacji;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zataił te informacje;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7" w:val="left"/>
        </w:tabs>
        <w:bidi w:val="0"/>
        <w:spacing w:before="0" w:after="80"/>
        <w:ind w:left="0" w:right="0" w:firstLine="0"/>
        <w:jc w:val="left"/>
      </w:pPr>
      <w:r>
        <w:rPr>
          <w:rStyle w:val="CharStyle13"/>
        </w:rPr>
        <w:t>nie był w stanie niezwłocznie przedstawić dokumentów potwierdzających wymaganych przez instytucję zamawiającą lub podmiot zamawiający; oraz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przedsięwziął kroki,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D: 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Inne podstawy wykluczenia, które mogą być przewidziane w przepisach krajowych państwa członkowskiego instytucji zamawiającej lub podmiotu zamawiającego.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56" w:name="bookmark56"/>
      <w:r>
        <w:rPr>
          <w:rStyle w:val="CharStyle10"/>
          <w:b/>
          <w:bCs/>
        </w:rPr>
        <w:t>URL</w:t>
      </w:r>
      <w:bookmarkEnd w:id="5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8" w:name="bookmark58"/>
      <w:r>
        <w:rPr>
          <w:rStyle w:val="CharStyle10"/>
          <w:b/>
          <w:bCs/>
        </w:rPr>
        <w:t>kod</w:t>
      </w:r>
      <w:bookmarkEnd w:id="5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60" w:name="bookmark60"/>
      <w:r>
        <w:rPr>
          <w:rStyle w:val="CharStyle8"/>
          <w:b/>
          <w:bCs/>
        </w:rPr>
        <w:t>Część IV: Kryteria kwalifikacji</w:t>
      </w:r>
      <w:bookmarkEnd w:id="60"/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40"/>
        <w:jc w:val="left"/>
      </w:pPr>
      <w:r>
        <w:rPr>
          <w:rStyle w:val="CharStyle13"/>
          <w:b/>
          <w:bCs/>
          <w:color w:val="FFFFFF"/>
        </w:rPr>
        <w:t>i: Kompetencje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58 ust. 2 dyrektywy 2014/24/UE określono następujące kryteria kwalifikacji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wpis do odpowiedniego rejestru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Figuruje w odpowiednich rejestrach zawodowych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62" w:name="bookmark62"/>
      <w:r>
        <w:rPr>
          <w:rStyle w:val="CharStyle10"/>
          <w:b/>
          <w:bCs/>
        </w:rPr>
        <w:t>URL</w:t>
      </w:r>
      <w:bookmarkEnd w:id="6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4" w:name="bookmark64"/>
      <w:r>
        <w:rPr>
          <w:rStyle w:val="CharStyle10"/>
          <w:b/>
          <w:bCs/>
        </w:rPr>
        <w:t>kod</w:t>
      </w:r>
      <w:bookmarkEnd w:id="6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wpis do rejestru handlowego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338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6" w:name="bookmark66"/>
      <w:r>
        <w:rPr>
          <w:rStyle w:val="CharStyle10"/>
          <w:b/>
          <w:bCs/>
        </w:rPr>
        <w:t>URL</w:t>
      </w:r>
      <w:bookmarkEnd w:id="6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8" w:name="bookmark68"/>
      <w:r>
        <w:rPr>
          <w:rStyle w:val="CharStyle10"/>
          <w:b/>
          <w:bCs/>
        </w:rPr>
        <w:t>kod</w:t>
      </w:r>
      <w:bookmarkEnd w:id="6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70" w:name="bookmark70"/>
      <w:r>
        <w:rPr>
          <w:rStyle w:val="CharStyle10"/>
          <w:b/>
          <w:bCs/>
        </w:rPr>
        <w:t>W przypadku zamówień na usługi: konieczne posiadanie określonego zezwolenia</w:t>
      </w:r>
      <w:bookmarkEnd w:id="7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konieczne jest posiadanie określonego zezwolenia, aby mieć możliwość świadczenia usługi, o której mowa, w państwie siedziby wykonawcy?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72" w:name="bookmark72"/>
      <w:r>
        <w:rPr>
          <w:rStyle w:val="CharStyle10"/>
          <w:b/>
          <w:bCs/>
        </w:rPr>
        <w:t>URL</w:t>
      </w:r>
      <w:bookmarkEnd w:id="7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4" w:name="bookmark74"/>
      <w:r>
        <w:rPr>
          <w:rStyle w:val="CharStyle10"/>
          <w:b/>
          <w:bCs/>
        </w:rPr>
        <w:t>kod</w:t>
      </w:r>
      <w:bookmarkEnd w:id="7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C: Zdolność techniczna i zawodowa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58 ust. 4 dyrektywy 2014/24/UE określono następujące kryteria kwalifikacji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CharStyle13"/>
          <w:b/>
          <w:bCs/>
        </w:rPr>
        <w:t xml:space="preserve">W przypadku zamówień na usługi: realizacja usług określonego rodzaju </w:t>
      </w:r>
      <w:r>
        <w:rPr>
          <w:rStyle w:val="CharStyle13"/>
        </w:rPr>
        <w:t>Jedynie w odniesieniu do zamówień publicznych na usługi: W okresie odniesienia wykonawca zrealizował następujące główne usługi określonego rodzaju: Instytucje zamawiające mogą wymagać, aby okres ten wynosił do trzech lat, i dopuszczać legitymowanie się doświadczeniem sprzed ponad trzech lat.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13"/>
          <w:b/>
          <w:bCs/>
        </w:rPr>
        <w:t xml:space="preserve">opis </w:t>
      </w:r>
      <w:r>
        <w:rPr>
          <w:rStyle w:val="CharStyle13"/>
          <w:b/>
          <w:bCs/>
        </w:rPr>
        <w:t>kwota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6" w:name="bookmark76"/>
      <w:r>
        <w:rPr>
          <w:rStyle w:val="CharStyle10"/>
          <w:b/>
          <w:bCs/>
        </w:rPr>
        <w:t>Data początkowa</w:t>
      </w:r>
      <w:bookmarkEnd w:id="7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r>
        <w:rPr>
          <w:rStyle w:val="CharStyle10"/>
          <w:b/>
          <w:bCs/>
        </w:rPr>
        <w:t>Data końcowa</w:t>
      </w:r>
      <w:bookmarkEnd w:id="7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Style w:val="CharStyle13"/>
          <w:b/>
          <w:bCs/>
        </w:rPr>
        <w:t>odbiorcy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0" w:name="bookmark80"/>
      <w:r>
        <w:rPr>
          <w:rStyle w:val="CharStyle10"/>
          <w:b/>
          <w:bCs/>
        </w:rPr>
        <w:t>URL</w:t>
      </w:r>
      <w:bookmarkEnd w:id="8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2" w:name="bookmark82"/>
      <w:r>
        <w:rPr>
          <w:rStyle w:val="CharStyle10"/>
          <w:b/>
          <w:bCs/>
        </w:rPr>
        <w:t>kod</w:t>
      </w:r>
      <w:bookmarkEnd w:id="8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  <w:b/>
          <w:bCs/>
        </w:rPr>
        <w:t>wykształcenie i kwalifikacje zawodowe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Sam usługodawca lub wykonawca oraz/lub jego kadra kierownicza (w zależności od wymogów określonych w stosownym ogłoszeniu lub dokumentach zamówienia) posiada następujące wykształcenie i kwalifikacje zawodowe.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338" w:lineRule="auto"/>
        <w:ind w:left="24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4" w:name="bookmark84"/>
      <w:r>
        <w:rPr>
          <w:rStyle w:val="CharStyle10"/>
          <w:b/>
          <w:bCs/>
        </w:rPr>
        <w:t>URL</w:t>
      </w:r>
      <w:bookmarkEnd w:id="8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50" w:lineRule="auto"/>
        <w:ind w:left="240" w:right="0" w:firstLine="0"/>
        <w:jc w:val="left"/>
      </w:pPr>
      <w:r>
        <w:rPr>
          <w:rStyle w:val="CharStyle13"/>
          <w:b/>
          <w:bCs/>
        </w:rPr>
        <w:t>kod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bookmarkStart w:id="86" w:name="bookmark86"/>
      <w:r>
        <w:rPr>
          <w:rStyle w:val="CharStyle10"/>
          <w:b/>
          <w:bCs/>
        </w:rPr>
        <w:t>Wydający</w:t>
      </w:r>
      <w:bookmarkEnd w:id="8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  <w:b/>
          <w:bCs/>
        </w:rPr>
        <w:t>narzędzia, wyposażenie zakładu i urządzenia techniczne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Będzie dysponował następującymi narzędziami, wyposażeniem zakładu i urządzeniami technicznymi na potrzeby realizacji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24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8" w:name="bookmark88"/>
      <w:r>
        <w:rPr>
          <w:rStyle w:val="CharStyle10"/>
          <w:b/>
          <w:bCs/>
        </w:rPr>
        <w:t>URL</w:t>
      </w:r>
      <w:bookmarkEnd w:id="8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90" w:name="bookmark90"/>
      <w:r>
        <w:rPr>
          <w:rStyle w:val="CharStyle10"/>
          <w:b/>
          <w:bCs/>
        </w:rPr>
        <w:t>kod</w:t>
      </w:r>
      <w:bookmarkEnd w:id="9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40" w:right="0" w:firstLine="0"/>
        <w:jc w:val="left"/>
      </w:pPr>
      <w:r>
        <w:rPr>
          <w:rStyle w:val="CharStyle16"/>
          <w:vertAlign w:val="subscript"/>
        </w:rPr>
        <w:t>-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240" w:right="0" w:firstLine="0"/>
        <w:jc w:val="left"/>
      </w:pPr>
      <w:bookmarkStart w:id="92" w:name="bookmark92"/>
      <w:r>
        <w:rPr>
          <w:rStyle w:val="CharStyle8"/>
          <w:b/>
          <w:bCs/>
        </w:rPr>
        <w:t>Zakończ</w:t>
      </w:r>
      <w:bookmarkEnd w:id="92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240" w:right="0" w:firstLine="0"/>
        <w:jc w:val="left"/>
      </w:pPr>
      <w:bookmarkStart w:id="94" w:name="bookmark94"/>
      <w:r>
        <w:rPr>
          <w:rStyle w:val="CharStyle10"/>
          <w:b/>
          <w:bCs/>
          <w:color w:val="FFFFFF"/>
        </w:rPr>
        <w:t>Część VI: Oświadczenia końcowe</w:t>
      </w:r>
      <w:bookmarkEnd w:id="9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Wykonawca oficjalnie oświadcza, że informacje podane powyżej w częściach II- V są dokładne i prawidłowe oraz że zostały przedstawione z pełną świadomością konsekwencji poważnego wprowadzenia w błąd.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rStyle w:val="CharStyle13"/>
        </w:rPr>
        <w:t>Wykonawca oficjalnie oświadcza, że jest w stanie, na żądanie i bez zwłoki, przedstawić zaświadczenia i inne rodzaje dowodów w formie dokumentów, z wyjątkiem przypadków, w których: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96" w:val="left"/>
        </w:tabs>
        <w:bidi w:val="0"/>
        <w:spacing w:before="0" w:after="120"/>
        <w:ind w:left="480" w:right="0" w:firstLine="0"/>
        <w:jc w:val="both"/>
      </w:pPr>
      <w:r>
        <w:rPr>
          <w:rStyle w:val="CharStyle13"/>
        </w:rPr>
        <w:t>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96" w:val="left"/>
        </w:tabs>
        <w:bidi w:val="0"/>
        <w:spacing w:before="0" w:after="0"/>
        <w:ind w:left="480" w:right="0" w:firstLine="0"/>
        <w:jc w:val="both"/>
      </w:pPr>
      <w:r>
        <w:rPr>
          <w:rStyle w:val="CharStyle13"/>
        </w:rP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rStyle w:val="CharStyle13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240" w:right="0" w:firstLine="0"/>
        <w:jc w:val="both"/>
        <w:rPr>
          <w:sz w:val="20"/>
          <w:szCs w:val="20"/>
        </w:rPr>
      </w:pPr>
      <w:r>
        <w:rPr>
          <w:rStyle w:val="CharStyle13"/>
        </w:rPr>
        <w:t xml:space="preserve">Data, miejscowość oraz - jeżeli jest to wymagane lub konieczne - podpis(-y): </w:t>
      </w:r>
      <w:r>
        <w:rPr>
          <w:rStyle w:val="CharStyle13"/>
          <w:b/>
          <w:bCs/>
        </w:rPr>
        <w:t xml:space="preserve">data </w:t>
      </w:r>
      <w:r>
        <w:rPr>
          <w:rStyle w:val="CharStyle13"/>
          <w:sz w:val="20"/>
          <w:szCs w:val="20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both"/>
      </w:pPr>
      <w:r>
        <w:rPr>
          <w:rStyle w:val="CharStyle13"/>
          <w:b/>
          <w:bCs/>
        </w:rPr>
        <w:t>Miejsce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right="0" w:firstLine="0"/>
        <w:jc w:val="both"/>
      </w:pPr>
      <w:r>
        <w:rPr>
          <w:rStyle w:val="CharStyle16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240" w:right="0" w:firstLine="0"/>
        <w:jc w:val="both"/>
      </w:pPr>
      <w:r>
        <w:rPr>
          <w:rStyle w:val="CharStyle13"/>
          <w:b/>
          <w:bCs/>
        </w:rPr>
        <w:t>Podpis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430" w:right="1079" w:bottom="782" w:left="947" w:header="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9625330</wp:posOffset>
              </wp:positionV>
              <wp:extent cx="2133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5000000000003pt;margin-top:757.89999999999998pt;width:16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główek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Tekst treśc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Tekst treści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360" w:after="240" w:line="166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630" w:line="26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auto"/>
      <w:spacing w:after="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  <w:spacing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Tekst treści (2)"/>
    <w:basedOn w:val="Normal"/>
    <w:link w:val="CharStyle16"/>
    <w:pPr>
      <w:widowControl w:val="0"/>
      <w:shd w:val="clear" w:color="auto" w:fill="auto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