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DEA" w14:textId="77777777" w:rsidR="00ED7972" w:rsidRPr="00BA6C17" w:rsidRDefault="00ED7972" w:rsidP="00ED7972">
      <w:pPr>
        <w:rPr>
          <w:rFonts w:asciiTheme="minorHAnsi" w:hAnsiTheme="minorHAnsi"/>
          <w:sz w:val="20"/>
          <w:szCs w:val="20"/>
        </w:rPr>
      </w:pPr>
    </w:p>
    <w:p w14:paraId="0AD6342F" w14:textId="46F90D8B" w:rsidR="00A4666C" w:rsidRPr="00BA6C17" w:rsidRDefault="00A4666C" w:rsidP="00ED7972">
      <w:pPr>
        <w:rPr>
          <w:rFonts w:asciiTheme="minorHAnsi" w:hAnsiTheme="minorHAnsi"/>
          <w:sz w:val="20"/>
          <w:szCs w:val="20"/>
        </w:rPr>
      </w:pPr>
    </w:p>
    <w:p w14:paraId="7FC63A53" w14:textId="071370AB" w:rsidR="00BA6C17" w:rsidRPr="00BA6C17" w:rsidRDefault="00BA6C17" w:rsidP="00BA6C17">
      <w:pPr>
        <w:jc w:val="right"/>
        <w:rPr>
          <w:rFonts w:asciiTheme="minorHAnsi" w:hAnsiTheme="minorHAnsi"/>
          <w:sz w:val="20"/>
          <w:szCs w:val="20"/>
        </w:rPr>
      </w:pPr>
      <w:r w:rsidRPr="00BA6C17">
        <w:rPr>
          <w:rFonts w:asciiTheme="minorHAnsi" w:hAnsiTheme="minorHAnsi"/>
          <w:sz w:val="20"/>
          <w:szCs w:val="20"/>
        </w:rPr>
        <w:t xml:space="preserve">Załącznik nr </w:t>
      </w:r>
      <w:r w:rsidR="003B4D0E">
        <w:rPr>
          <w:rFonts w:asciiTheme="minorHAnsi" w:hAnsiTheme="minorHAnsi"/>
          <w:sz w:val="20"/>
          <w:szCs w:val="20"/>
        </w:rPr>
        <w:t>2</w:t>
      </w:r>
      <w:r w:rsidRPr="00BA6C17">
        <w:rPr>
          <w:rFonts w:asciiTheme="minorHAnsi" w:hAnsiTheme="minorHAnsi"/>
          <w:sz w:val="20"/>
          <w:szCs w:val="20"/>
        </w:rPr>
        <w:t xml:space="preserve"> do SWZ</w:t>
      </w:r>
    </w:p>
    <w:p w14:paraId="72B88340" w14:textId="4249D23A" w:rsidR="00BA6C17" w:rsidRPr="00BA6C17" w:rsidRDefault="00BA6C17" w:rsidP="00BA6C17">
      <w:pPr>
        <w:jc w:val="right"/>
        <w:rPr>
          <w:rFonts w:asciiTheme="minorHAnsi" w:hAnsiTheme="minorHAnsi"/>
          <w:b/>
          <w:sz w:val="20"/>
          <w:szCs w:val="20"/>
        </w:rPr>
      </w:pPr>
      <w:r w:rsidRPr="00BA6C17">
        <w:rPr>
          <w:rFonts w:asciiTheme="minorHAnsi" w:hAnsiTheme="minorHAnsi"/>
          <w:sz w:val="20"/>
          <w:szCs w:val="20"/>
        </w:rPr>
        <w:t xml:space="preserve">Nr Sprawy: </w:t>
      </w:r>
      <w:r w:rsidR="00596E5A">
        <w:rPr>
          <w:rFonts w:asciiTheme="minorHAnsi" w:hAnsiTheme="minorHAnsi"/>
          <w:b/>
          <w:sz w:val="20"/>
          <w:szCs w:val="20"/>
        </w:rPr>
        <w:t>DZ.271.11.2024</w:t>
      </w:r>
    </w:p>
    <w:p w14:paraId="2B902D41" w14:textId="77777777" w:rsidR="00BA6C17" w:rsidRPr="00BA6C17" w:rsidRDefault="00BA6C17" w:rsidP="00BA6C17">
      <w:pPr>
        <w:jc w:val="right"/>
        <w:rPr>
          <w:rFonts w:asciiTheme="minorHAnsi" w:hAnsiTheme="minorHAnsi"/>
          <w:sz w:val="20"/>
          <w:szCs w:val="20"/>
        </w:rPr>
      </w:pPr>
    </w:p>
    <w:p w14:paraId="2B477F6C" w14:textId="77777777" w:rsidR="003B4D0E" w:rsidRPr="003B4D0E" w:rsidRDefault="003B4D0E" w:rsidP="003B4D0E">
      <w:pPr>
        <w:spacing w:before="120" w:after="120" w:line="360" w:lineRule="auto"/>
        <w:jc w:val="center"/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  <w:r w:rsidRPr="003B4D0E"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  <w:t>Opis Przedmiotu Zamówienia</w:t>
      </w:r>
    </w:p>
    <w:p w14:paraId="491403DC" w14:textId="1E83E8C6" w:rsidR="003B4D0E" w:rsidRDefault="003B4D0E" w:rsidP="003B4D0E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  <w:r w:rsidRPr="00415E25">
        <w:rPr>
          <w:rFonts w:asciiTheme="minorHAnsi" w:hAnsiTheme="minorHAnsi"/>
          <w:b/>
          <w:color w:val="000000" w:themeColor="background1"/>
          <w:spacing w:val="4"/>
          <w:sz w:val="20"/>
        </w:rPr>
        <w:t>„Świadczenie usług rzecznika patentowego na potrzeby Łukasiewicz - PORT w ramach Wirtualnego Instytutu Badawczego”</w:t>
      </w:r>
    </w:p>
    <w:p w14:paraId="60915A4D" w14:textId="77777777" w:rsidR="003B4D0E" w:rsidRPr="003B4D0E" w:rsidRDefault="003B4D0E" w:rsidP="003B4D0E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</w:p>
    <w:p w14:paraId="1FE4DE93" w14:textId="167D583B" w:rsidR="003B4D0E" w:rsidRPr="003B4D0E" w:rsidRDefault="003B4D0E" w:rsidP="6966D3EF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6966D3EF">
        <w:rPr>
          <w:rFonts w:asciiTheme="minorHAnsi" w:hAnsiTheme="minorHAnsi"/>
          <w:sz w:val="20"/>
          <w:szCs w:val="20"/>
        </w:rPr>
        <w:t xml:space="preserve">I. Przedmiotem zamówienia jest świadczenie usług prawnych w zakresie ochrony praw własności intelektualnej, w szczególności uzyskania ochrony patentowej oraz ochrony know-how, jak również świadczenie usług  strategicznego doradztwa w obszarze ochrony własności intelektualnej na rynkach krajowych oraz zagranicznych dla Wirtualnego Instytutu Badawczego zarządzanego przez Zamawiającego - </w:t>
      </w:r>
      <w:r w:rsidRPr="6966D3EF">
        <w:rPr>
          <w:rFonts w:asciiTheme="minorHAnsi" w:eastAsia="Verdana" w:hAnsiTheme="minorHAnsi"/>
          <w:color w:val="000000" w:themeColor="background2"/>
          <w:sz w:val="20"/>
          <w:szCs w:val="20"/>
        </w:rPr>
        <w:t>Sieć Badawczą Łukasiewicz - PORT Polski Ośrodek Rozwoju Technologii</w:t>
      </w:r>
      <w:r w:rsidRPr="6966D3EF">
        <w:rPr>
          <w:rFonts w:asciiTheme="minorHAnsi" w:eastAsia="Calibri" w:hAnsiTheme="minorHAnsi"/>
          <w:sz w:val="20"/>
          <w:szCs w:val="20"/>
        </w:rPr>
        <w:t xml:space="preserve"> </w:t>
      </w:r>
      <w:r w:rsidRPr="6966D3EF">
        <w:rPr>
          <w:rFonts w:asciiTheme="minorHAnsi" w:hAnsiTheme="minorHAnsi"/>
          <w:sz w:val="20"/>
          <w:szCs w:val="20"/>
        </w:rPr>
        <w:t>w zakresie nauk z dziedziny Biotechnologii Medycznej ze szczególnym uwzględnieniem technologii mRNA.</w:t>
      </w:r>
      <w:r w:rsidR="6E79CEA7" w:rsidRPr="6966D3EF">
        <w:rPr>
          <w:rFonts w:asciiTheme="minorHAnsi" w:hAnsiTheme="minorHAnsi"/>
          <w:sz w:val="20"/>
          <w:szCs w:val="20"/>
        </w:rPr>
        <w:t xml:space="preserve"> Zamawiający </w:t>
      </w:r>
      <w:r w:rsidR="0AE2F405" w:rsidRPr="6966D3EF">
        <w:rPr>
          <w:rFonts w:asciiTheme="minorHAnsi" w:hAnsiTheme="minorHAnsi"/>
          <w:sz w:val="20"/>
          <w:szCs w:val="20"/>
        </w:rPr>
        <w:t>realizuje Przedmiot Zamówienia</w:t>
      </w:r>
      <w:r w:rsidR="6E79CEA7" w:rsidRPr="6966D3EF">
        <w:rPr>
          <w:rFonts w:asciiTheme="minorHAnsi" w:hAnsiTheme="minorHAnsi"/>
          <w:sz w:val="20"/>
          <w:szCs w:val="20"/>
        </w:rPr>
        <w:t xml:space="preserve"> jako Podmiot Zarządzający </w:t>
      </w:r>
      <w:r w:rsidR="519662AC" w:rsidRPr="6966D3EF">
        <w:rPr>
          <w:rFonts w:asciiTheme="minorHAnsi" w:hAnsiTheme="minorHAnsi"/>
          <w:sz w:val="20"/>
          <w:szCs w:val="20"/>
        </w:rPr>
        <w:t>działając</w:t>
      </w:r>
      <w:r w:rsidR="6E79CEA7" w:rsidRPr="6966D3EF">
        <w:rPr>
          <w:rFonts w:asciiTheme="minorHAnsi" w:hAnsiTheme="minorHAnsi"/>
          <w:sz w:val="20"/>
          <w:szCs w:val="20"/>
        </w:rPr>
        <w:t xml:space="preserve"> w imieniu i na rzecz </w:t>
      </w:r>
      <w:r w:rsidR="40A69A66" w:rsidRPr="6966D3EF">
        <w:rPr>
          <w:rFonts w:asciiTheme="minorHAnsi" w:hAnsiTheme="minorHAnsi"/>
          <w:sz w:val="20"/>
          <w:szCs w:val="20"/>
        </w:rPr>
        <w:t xml:space="preserve">Skarbu Państwa - Ministra Edukacji </w:t>
      </w:r>
      <w:r w:rsidR="0B947A3E" w:rsidRPr="6966D3EF">
        <w:rPr>
          <w:rFonts w:asciiTheme="minorHAnsi" w:hAnsiTheme="minorHAnsi"/>
          <w:sz w:val="20"/>
          <w:szCs w:val="20"/>
        </w:rPr>
        <w:t xml:space="preserve">i Nauki </w:t>
      </w:r>
      <w:r w:rsidR="40A69A66" w:rsidRPr="6966D3EF">
        <w:rPr>
          <w:rFonts w:asciiTheme="minorHAnsi" w:hAnsiTheme="minorHAnsi"/>
          <w:sz w:val="20"/>
          <w:szCs w:val="20"/>
        </w:rPr>
        <w:t xml:space="preserve">na podstawie umowy o zarządzanie </w:t>
      </w:r>
      <w:r w:rsidR="45C602B4" w:rsidRPr="6966D3EF">
        <w:rPr>
          <w:rFonts w:asciiTheme="minorHAnsi" w:hAnsiTheme="minorHAnsi"/>
          <w:sz w:val="20"/>
          <w:szCs w:val="20"/>
        </w:rPr>
        <w:t>Wirtualnym Instytutem Badawczym</w:t>
      </w:r>
      <w:r w:rsidR="00E431E7">
        <w:rPr>
          <w:rFonts w:asciiTheme="minorHAnsi" w:hAnsiTheme="minorHAnsi"/>
          <w:sz w:val="20"/>
          <w:szCs w:val="20"/>
        </w:rPr>
        <w:t xml:space="preserve"> (WIB)</w:t>
      </w:r>
      <w:r w:rsidR="45C602B4" w:rsidRPr="6966D3EF">
        <w:rPr>
          <w:rFonts w:asciiTheme="minorHAnsi" w:hAnsiTheme="minorHAnsi"/>
          <w:sz w:val="20"/>
          <w:szCs w:val="20"/>
        </w:rPr>
        <w:t>.</w:t>
      </w:r>
    </w:p>
    <w:p w14:paraId="2A3B641A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Celem zamówienia jest wspieranie Zamawiającego od strony prawnej w zakresie opracowania strategii ochrony poszczególnych Własności Intelektualnych (WI) wytworzonych  w projektach Wirtualnego Instytutu Badawczego, uzyskanie dla nich optymalnej ochrony patentowej na wybranych rynkach krajowych i zagranicznych (m.in. Stany Zjednoczone, Chiny, Japonia, Niemcy, Francja, Włochy, Wielka Brytania), w tym doradztwo Zamawiającemu w zakresie wybrania optymalnej ochrony oraz doradztwo w zakresie zadań realizowanych w obszarze komercjalizacji i innych form transferu wyników badań naukowych i prac rozwojowych do gospodarki z dziedziny Biotechnologii Medycznej ze szczególnym uwzględnieniem technologii mRNA.</w:t>
      </w:r>
    </w:p>
    <w:p w14:paraId="07AC83D6" w14:textId="741990FF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 xml:space="preserve">Przedmiot zamówienia obejmuje usługi rzeczników patentowych w zakresie prowadzenia nowych oraz kontynuacji trwających postępowań patentowych przed Urzędem Patentowym RP oraz urzędami patentowymi poza granicami kraju, m.in. Europejskim Urzędem Patentowym (EPO) i Urzędem ds. Patentów i Znaków </w:t>
      </w:r>
      <w:r w:rsidRPr="003B4D0E">
        <w:rPr>
          <w:rFonts w:asciiTheme="minorHAnsi" w:hAnsiTheme="minorHAnsi" w:cstheme="minorHAnsi"/>
          <w:sz w:val="20"/>
          <w:szCs w:val="20"/>
        </w:rPr>
        <w:lastRenderedPageBreak/>
        <w:t>Towarowych Stanów Zjednoczonych (USPTO), dla wynalazków zgłoszonych w trybie krajowym, międzynarodowym PCT i europejskim.</w:t>
      </w:r>
    </w:p>
    <w:p w14:paraId="406D1A42" w14:textId="43421DC1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Przez WI Zamawiający rozumie własność intelektualną, którą docelowo chce objąć jak najszerszą ochroną praw własności intelektualnej oraz know-how.</w:t>
      </w:r>
    </w:p>
    <w:p w14:paraId="34951E49" w14:textId="6D30718B" w:rsidR="003B4D0E" w:rsidRPr="003E2D2A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>II. Przedmiot zamówienia obejmuje w szczególności:</w:t>
      </w:r>
    </w:p>
    <w:p w14:paraId="57B7A33F" w14:textId="5F3F57A6" w:rsidR="003B4D0E" w:rsidRPr="003B4D0E" w:rsidRDefault="003B4D0E" w:rsidP="6B44F5F1">
      <w:pPr>
        <w:pStyle w:val="Akapitzlist"/>
        <w:numPr>
          <w:ilvl w:val="0"/>
          <w:numId w:val="16"/>
        </w:numPr>
        <w:spacing w:before="120" w:after="120" w:line="360" w:lineRule="auto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 xml:space="preserve">Opracowanie strategii ochrony własności intelektualnej wraz z analizą możliwych scenariuszy i wyborem dla Zamawiającego optymalnej ścieżki ochrony mając na uwadze sytuację rynkową wraz z podaniem konsekwencji finansowych i prawnych. Zamawiający przez strategię ochrony praw własności intelektualnej rozumie otrzymanie opracowanego planu działań mających na celu uzyskanie jak </w:t>
      </w:r>
      <w:r w:rsidR="00AD719A">
        <w:rPr>
          <w:rFonts w:cstheme="minorHAnsi"/>
          <w:bCs/>
          <w:szCs w:val="20"/>
        </w:rPr>
        <w:t>najszerszej</w:t>
      </w:r>
      <w:r w:rsidR="00AD719A" w:rsidRPr="003B4D0E">
        <w:rPr>
          <w:rFonts w:cstheme="minorHAnsi"/>
          <w:bCs/>
          <w:szCs w:val="20"/>
        </w:rPr>
        <w:t xml:space="preserve"> </w:t>
      </w:r>
      <w:r w:rsidRPr="003B4D0E">
        <w:rPr>
          <w:rFonts w:cstheme="minorHAnsi"/>
          <w:bCs/>
          <w:szCs w:val="20"/>
        </w:rPr>
        <w:t>ochrony Praw własności intelektualnej i know-how oraz ich egzekwowanie, przy czym Wykonawca powinien uwzględniać aspekty geograficzne i technologiczne oraz na bieżąco współpracować z Zamawiającym, aby celowo uzyskać jak najszersze zabezpieczenie praw własności intelektualnej. Strategia powinna określać m. in. analizę możliwych spos</w:t>
      </w:r>
      <w:r w:rsidR="00ED1673">
        <w:rPr>
          <w:rFonts w:cstheme="minorHAnsi"/>
          <w:bCs/>
          <w:szCs w:val="20"/>
        </w:rPr>
        <w:t>o</w:t>
      </w:r>
      <w:r w:rsidRPr="003B4D0E">
        <w:rPr>
          <w:rFonts w:cstheme="minorHAnsi"/>
          <w:bCs/>
          <w:szCs w:val="20"/>
        </w:rPr>
        <w:t>b</w:t>
      </w:r>
      <w:r w:rsidR="001601F4">
        <w:rPr>
          <w:rFonts w:cstheme="minorHAnsi"/>
          <w:bCs/>
          <w:szCs w:val="20"/>
        </w:rPr>
        <w:t>ów</w:t>
      </w:r>
      <w:r w:rsidRPr="003B4D0E">
        <w:rPr>
          <w:rFonts w:cstheme="minorHAnsi"/>
          <w:bCs/>
          <w:szCs w:val="20"/>
        </w:rPr>
        <w:t xml:space="preserve"> ochrony, wskazanie optymalnych rozwiązań, oszacowania kosztów, określenia jurysdykcji itd.</w:t>
      </w:r>
    </w:p>
    <w:p w14:paraId="3AFE81BA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Przygotowanie raportu z badania stanu techniki zawierającego analizę rozwiązań podanych w kwalifikowanych opisach patentowych wraz z opinią o zdolności patentowej rozwiązania.</w:t>
      </w:r>
    </w:p>
    <w:p w14:paraId="50C38E3E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Sporządzanie analiz typu „</w:t>
      </w:r>
      <w:proofErr w:type="spellStart"/>
      <w:r w:rsidRPr="003B4D0E">
        <w:rPr>
          <w:rFonts w:cstheme="minorHAnsi"/>
          <w:bCs/>
          <w:szCs w:val="20"/>
        </w:rPr>
        <w:t>freedom</w:t>
      </w:r>
      <w:proofErr w:type="spellEnd"/>
      <w:r w:rsidRPr="003B4D0E">
        <w:rPr>
          <w:rFonts w:cstheme="minorHAnsi"/>
          <w:bCs/>
          <w:szCs w:val="20"/>
        </w:rPr>
        <w:t xml:space="preserve"> to </w:t>
      </w:r>
      <w:proofErr w:type="spellStart"/>
      <w:r w:rsidRPr="003B4D0E">
        <w:rPr>
          <w:rFonts w:cstheme="minorHAnsi"/>
          <w:bCs/>
          <w:szCs w:val="20"/>
        </w:rPr>
        <w:t>operate</w:t>
      </w:r>
      <w:proofErr w:type="spellEnd"/>
      <w:r w:rsidRPr="003B4D0E">
        <w:rPr>
          <w:rFonts w:cstheme="minorHAnsi"/>
          <w:bCs/>
          <w:szCs w:val="20"/>
        </w:rPr>
        <w:t>” (FTO) dla wybranych WI lub rodzin WI powstałych w projektach WIB w celu m.in. ustalenia czy możliwe jest wprowadzenie do obrotu (m.in. produkcja, używanie, sprzedaż) danego rozwiązania bez naruszania cudzych praw własności intelektualnej oraz oceny barier we wdrożeniu wynalazków w krajach wskazanych przez Zamawiającego.</w:t>
      </w:r>
    </w:p>
    <w:p w14:paraId="7934B9E9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Doradztwo w zakresie własności intelektualnej w tym dokonywanie wykładni obowiązujących przepisów prawa zgodnie z bieżącym zapotrzebowaniem Zamawiającego.</w:t>
      </w:r>
    </w:p>
    <w:p w14:paraId="76CD143B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 xml:space="preserve">Konsultacje i inne czynności w zakresie uzyskania praw własności intelektualnej (m.in. wskazanie możliwych ścieżek postępowania, </w:t>
      </w:r>
      <w:r w:rsidRPr="003B4D0E">
        <w:rPr>
          <w:rFonts w:cstheme="minorHAnsi"/>
          <w:bCs/>
          <w:szCs w:val="20"/>
        </w:rPr>
        <w:lastRenderedPageBreak/>
        <w:t>udzielania odpowiedzi wraz z podaniem konsekwencji finansowych, prawnych i merytorycznych).</w:t>
      </w:r>
    </w:p>
    <w:p w14:paraId="348E0D8D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Konsultacje w zakresie opinii prawnych i umów w szczególności dotyczących: wspólności praw, umów licencyjnych, umów przeniesienia praw własności intelektualnej oraz innych umów dotyczących rozpowszechniania i stosowania rozwiązań chronionych i niechronionych oraz zachowania w poufności i tajemnicy know-how.</w:t>
      </w:r>
    </w:p>
    <w:p w14:paraId="48AAA646" w14:textId="1E163DA5" w:rsidR="003B4D0E" w:rsidRPr="003B4D0E" w:rsidRDefault="003B4D0E" w:rsidP="7027A3C1">
      <w:pPr>
        <w:pStyle w:val="Akapitzlist"/>
        <w:numPr>
          <w:ilvl w:val="0"/>
          <w:numId w:val="16"/>
        </w:numPr>
        <w:spacing w:before="120" w:after="120" w:line="360" w:lineRule="auto"/>
      </w:pPr>
      <w:r w:rsidRPr="7027A3C1">
        <w:t>Reprezentacja Zamawiającego przez Wykonawcę, w tym rzecznika patentowego w postępowaniach sądowych, administracyjnych lub administracyjno-sądowych z zakresu prawa własności intelektualnej (np. w sprawach o naruszenia praw własności intelektualnej lub o unieważnienie praw własności intelektualnej, w szczególności patentu lub w sprawach sprzeciwu w krajach Europejskich oraz poza granicami Europy).</w:t>
      </w:r>
    </w:p>
    <w:p w14:paraId="55B9B348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Merytoryczny udział w spotkaniach tematycznych w trybie online z Twórcami WI, czyli naukowcami pracującymi w projektach WIB oraz podmiotem zarządzającym WI, czyli Zamawiającym.</w:t>
      </w:r>
    </w:p>
    <w:p w14:paraId="501FA18E" w14:textId="0F04264D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szCs w:val="20"/>
        </w:rPr>
      </w:pPr>
      <w:r w:rsidRPr="003B4D0E">
        <w:rPr>
          <w:rFonts w:cstheme="minorHAnsi"/>
          <w:bCs/>
          <w:szCs w:val="20"/>
        </w:rPr>
        <w:t xml:space="preserve">Przygotowanie pełnej dokumentacji zgłoszeniowej, dokonanie zgłoszenia rozwiązania oraz obsługa zgłoszeń w </w:t>
      </w:r>
      <w:r w:rsidR="00057D45">
        <w:rPr>
          <w:rFonts w:cstheme="minorHAnsi"/>
          <w:bCs/>
          <w:szCs w:val="20"/>
        </w:rPr>
        <w:t>fazie pierwszej</w:t>
      </w:r>
      <w:r w:rsidR="00057D45" w:rsidRPr="003B4D0E">
        <w:rPr>
          <w:rFonts w:cstheme="minorHAnsi"/>
          <w:bCs/>
          <w:szCs w:val="20"/>
        </w:rPr>
        <w:t xml:space="preserve"> </w:t>
      </w:r>
      <w:r w:rsidR="008A7A60">
        <w:rPr>
          <w:rFonts w:cstheme="minorHAnsi"/>
          <w:bCs/>
          <w:szCs w:val="20"/>
        </w:rPr>
        <w:t>(</w:t>
      </w:r>
      <w:r w:rsidRPr="003B4D0E">
        <w:rPr>
          <w:rFonts w:cstheme="minorHAnsi"/>
          <w:bCs/>
          <w:szCs w:val="20"/>
        </w:rPr>
        <w:t>międzynarodowej</w:t>
      </w:r>
      <w:r w:rsidR="008A7A60">
        <w:rPr>
          <w:rFonts w:cstheme="minorHAnsi"/>
          <w:bCs/>
          <w:szCs w:val="20"/>
        </w:rPr>
        <w:t>)</w:t>
      </w:r>
      <w:r w:rsidR="008F7F85">
        <w:rPr>
          <w:rFonts w:cstheme="minorHAnsi"/>
          <w:bCs/>
          <w:szCs w:val="20"/>
        </w:rPr>
        <w:t xml:space="preserve"> procedury</w:t>
      </w:r>
      <w:r w:rsidRPr="003B4D0E">
        <w:rPr>
          <w:rFonts w:cstheme="minorHAnsi"/>
          <w:bCs/>
          <w:szCs w:val="20"/>
        </w:rPr>
        <w:t xml:space="preserve"> Układ</w:t>
      </w:r>
      <w:r w:rsidR="00996BF7">
        <w:rPr>
          <w:rFonts w:cstheme="minorHAnsi"/>
          <w:bCs/>
          <w:szCs w:val="20"/>
        </w:rPr>
        <w:t>u</w:t>
      </w:r>
      <w:r w:rsidRPr="003B4D0E">
        <w:rPr>
          <w:rFonts w:cstheme="minorHAnsi"/>
          <w:bCs/>
          <w:szCs w:val="20"/>
        </w:rPr>
        <w:t xml:space="preserve"> o </w:t>
      </w:r>
      <w:r w:rsidR="008C41F2">
        <w:rPr>
          <w:rFonts w:cstheme="minorHAnsi"/>
          <w:bCs/>
          <w:szCs w:val="20"/>
        </w:rPr>
        <w:t>W</w:t>
      </w:r>
      <w:r w:rsidRPr="003B4D0E">
        <w:rPr>
          <w:rFonts w:cstheme="minorHAnsi"/>
          <w:bCs/>
          <w:szCs w:val="20"/>
        </w:rPr>
        <w:t xml:space="preserve">spółpracy </w:t>
      </w:r>
      <w:r w:rsidR="008C41F2">
        <w:rPr>
          <w:rFonts w:cstheme="minorHAnsi"/>
          <w:bCs/>
          <w:szCs w:val="20"/>
        </w:rPr>
        <w:t>P</w:t>
      </w:r>
      <w:r w:rsidRPr="003B4D0E">
        <w:rPr>
          <w:rFonts w:cstheme="minorHAnsi"/>
          <w:bCs/>
          <w:szCs w:val="20"/>
        </w:rPr>
        <w:t xml:space="preserve">atentowej, (ang. Patent </w:t>
      </w:r>
      <w:proofErr w:type="spellStart"/>
      <w:r w:rsidRPr="003B4D0E">
        <w:rPr>
          <w:rFonts w:cstheme="minorHAnsi"/>
          <w:bCs/>
          <w:szCs w:val="20"/>
        </w:rPr>
        <w:t>Cooperation</w:t>
      </w:r>
      <w:proofErr w:type="spellEnd"/>
      <w:r w:rsidRPr="003B4D0E">
        <w:rPr>
          <w:rFonts w:cstheme="minorHAnsi"/>
          <w:bCs/>
          <w:szCs w:val="20"/>
        </w:rPr>
        <w:t xml:space="preserve"> </w:t>
      </w:r>
      <w:proofErr w:type="spellStart"/>
      <w:r w:rsidRPr="003B4D0E">
        <w:rPr>
          <w:rFonts w:cstheme="minorHAnsi"/>
          <w:bCs/>
          <w:szCs w:val="20"/>
        </w:rPr>
        <w:t>Treaty</w:t>
      </w:r>
      <w:proofErr w:type="spellEnd"/>
      <w:r w:rsidRPr="003B4D0E">
        <w:rPr>
          <w:rFonts w:cstheme="minorHAnsi"/>
          <w:bCs/>
          <w:szCs w:val="20"/>
        </w:rPr>
        <w:t>, PCT</w:t>
      </w:r>
      <w:r w:rsidRPr="003B4D0E">
        <w:rPr>
          <w:rFonts w:eastAsia="Arial" w:cstheme="minorHAnsi"/>
          <w:bCs/>
          <w:color w:val="222222"/>
          <w:szCs w:val="20"/>
        </w:rPr>
        <w:t xml:space="preserve">) </w:t>
      </w:r>
      <w:r w:rsidRPr="003B4D0E">
        <w:rPr>
          <w:rFonts w:cstheme="minorHAnsi"/>
          <w:bCs/>
          <w:szCs w:val="20"/>
        </w:rPr>
        <w:t>poprzez korespondencję</w:t>
      </w:r>
      <w:r w:rsidRPr="003B4D0E">
        <w:rPr>
          <w:rFonts w:cstheme="minorHAnsi"/>
          <w:szCs w:val="20"/>
        </w:rPr>
        <w:t xml:space="preserve"> z właściwym urzędem patentowym w ramach postępowań zgłoszeniowych zarówno nowych jak i kontynuacji trwających, przekazywanie korespondencji, przygotowywanie i składanie odpowiedzi na pisma obejmujące redagowanie opisów patentowych, zastrzeżeń patentowych, dosyłanie dokumentacji, składanie tłumaczeń itp., w tym odpowiedzi na zarzuty stawiane rozwiązaniom zgłaszanym przez Zamawiającego, korespondencję z kancelariami zagranicznymi będącymi pełnomocnikami w sprawie do uzyskania patentu oraz w razie potrzeby bieżącą korespondencję bezpośrednio z Twórcą rozwiązania. Obsługa zgłoszenia obejmuje także monitoring i informowanie Zamawiającego o terminach i wysokości opłat urzędowych w ramach procedur patentowych w trybie międzynarodowym PCT. W ramach obsługi </w:t>
      </w:r>
      <w:r w:rsidRPr="003B4D0E">
        <w:rPr>
          <w:rFonts w:cstheme="minorHAnsi"/>
          <w:szCs w:val="20"/>
        </w:rPr>
        <w:lastRenderedPageBreak/>
        <w:t>zgłoszeń będą świadczone</w:t>
      </w:r>
      <w:r w:rsidRPr="003B4D0E">
        <w:rPr>
          <w:rFonts w:cstheme="minorHAnsi"/>
          <w:b/>
          <w:szCs w:val="20"/>
        </w:rPr>
        <w:t xml:space="preserve"> niezbędne konsultacje eksperckie</w:t>
      </w:r>
      <w:r w:rsidRPr="003B4D0E">
        <w:rPr>
          <w:rFonts w:cstheme="minorHAnsi"/>
          <w:szCs w:val="20"/>
        </w:rPr>
        <w:t xml:space="preserve"> przez profesjonalnego pełnomocnika posiadającego uprawnienia do reprezentowania Zamawiającego przed urzędami ds. patentów takich krajów jak m. in. Stany Zjednoczone, Chiny, Japonia obejmujące doradztwo w zakresie prawa własności intelektualnej oraz prawa własności przemysłowej, szczególnie w zakresie oceny zdolności patentowej i czystości patentowej rozwiązań, doradztwo w zakresie optymalizacji kosztów ochrony patentowej, ponadto doraźne konsultacje w zakresie opinii prawnych i umów o wspólności praw, umów licencyjnych, umów przeniesienia praw własności intelektualnej oraz innych umów dotyczących rozpowszechniania i stosowania rozwiązań chronionych i niechronionych, umów dotyczących know-how i innych w zakresie ochrony, a także udział w mediacjach i negocjacjach z kontrahentami w sprawach z zakresu własności intelektualnej.</w:t>
      </w:r>
      <w:r w:rsidR="003D27FD">
        <w:rPr>
          <w:rFonts w:cstheme="minorHAnsi"/>
          <w:szCs w:val="20"/>
        </w:rPr>
        <w:t xml:space="preserve"> Obsługa fa</w:t>
      </w:r>
      <w:r w:rsidR="005D3610">
        <w:rPr>
          <w:rFonts w:cstheme="minorHAnsi"/>
          <w:szCs w:val="20"/>
        </w:rPr>
        <w:t>z krajowych</w:t>
      </w:r>
      <w:r w:rsidR="008D1F89">
        <w:rPr>
          <w:rFonts w:cstheme="minorHAnsi"/>
          <w:szCs w:val="20"/>
        </w:rPr>
        <w:t xml:space="preserve"> zgłoszeń</w:t>
      </w:r>
      <w:r w:rsidR="00D8506F">
        <w:rPr>
          <w:rFonts w:cstheme="minorHAnsi"/>
          <w:szCs w:val="20"/>
        </w:rPr>
        <w:t xml:space="preserve"> </w:t>
      </w:r>
      <w:r w:rsidR="00BF23EF">
        <w:rPr>
          <w:rFonts w:cstheme="minorHAnsi"/>
          <w:szCs w:val="20"/>
        </w:rPr>
        <w:t xml:space="preserve">w trybie PCT </w:t>
      </w:r>
      <w:r w:rsidR="00D8506F">
        <w:rPr>
          <w:rFonts w:cstheme="minorHAnsi"/>
          <w:szCs w:val="20"/>
        </w:rPr>
        <w:t>będzie realizowana w ramach</w:t>
      </w:r>
      <w:r w:rsidR="0008443A">
        <w:rPr>
          <w:rFonts w:cstheme="minorHAnsi"/>
          <w:szCs w:val="20"/>
        </w:rPr>
        <w:t xml:space="preserve"> konsultacji</w:t>
      </w:r>
      <w:r w:rsidR="00216D81">
        <w:rPr>
          <w:rFonts w:cstheme="minorHAnsi"/>
          <w:szCs w:val="20"/>
        </w:rPr>
        <w:t xml:space="preserve"> opisanych w punktach </w:t>
      </w:r>
      <w:r w:rsidR="00E601CC">
        <w:rPr>
          <w:rFonts w:cstheme="minorHAnsi"/>
          <w:szCs w:val="20"/>
        </w:rPr>
        <w:t>II.</w:t>
      </w:r>
      <w:r w:rsidR="00216D81">
        <w:rPr>
          <w:rFonts w:cstheme="minorHAnsi"/>
          <w:szCs w:val="20"/>
        </w:rPr>
        <w:t xml:space="preserve">12 i </w:t>
      </w:r>
      <w:r w:rsidR="00B84C49">
        <w:rPr>
          <w:rFonts w:cstheme="minorHAnsi"/>
          <w:szCs w:val="20"/>
        </w:rPr>
        <w:t>II.</w:t>
      </w:r>
      <w:r w:rsidR="00216D81">
        <w:rPr>
          <w:rFonts w:cstheme="minorHAnsi"/>
          <w:szCs w:val="20"/>
        </w:rPr>
        <w:t>13 OPZ.</w:t>
      </w:r>
    </w:p>
    <w:p w14:paraId="68859A9A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szCs w:val="20"/>
        </w:rPr>
      </w:pPr>
      <w:r w:rsidRPr="003B4D0E">
        <w:rPr>
          <w:rFonts w:cstheme="minorHAnsi"/>
          <w:bCs/>
          <w:szCs w:val="20"/>
        </w:rPr>
        <w:t>Przygotowanie pełnej dokumentacji zgłoszeniowej, dokonanie zgłoszenia rozwiązania oraz obsługa zgłoszeń w trybie regionalnym przed Europejskim Urzędem Patentowym (EPO) albo w ramach kontynuacji procedury międzynarodowej PCT</w:t>
      </w:r>
      <w:r w:rsidRPr="003B4D0E">
        <w:rPr>
          <w:rFonts w:cstheme="minorHAnsi"/>
          <w:b/>
          <w:szCs w:val="20"/>
        </w:rPr>
        <w:t xml:space="preserve"> </w:t>
      </w:r>
      <w:r w:rsidRPr="003B4D0E">
        <w:rPr>
          <w:rFonts w:cstheme="minorHAnsi"/>
          <w:szCs w:val="20"/>
        </w:rPr>
        <w:t>poprzez korespondencję z właściwym urzędem patentowym w ramach postępowań zgłoszeniowych zarówno nowych jak i kontynuacji trwających, przekazywanie korespondencji, przygotowywanie i składanie odpowiedzi na pisma obejmujące redagowanie opisów patentowych, zastrzeżeń patentowych, dosyłanie dokumentacji, składanie tłumaczeń itp., w tym odpowiedzi na zarzuty stawiane rozwiązaniom zgłaszanym przez Zamawiającego, korespondencję z kancelariami zagranicznymi będącymi pełnomocnikami w sprawie do uzyskania patentu oraz w razie potrzeby bieżącą korespondencję bezpośrednio z Twórcą rozwiązania. Obsługa zgłoszenia obejmuje także monitoring i informowanie Zamawiającego o terminach i wysokości opłat urzędowych w ramach procedur patentowych w trybie międzynarodowym PCT i europejskim przed EPO.</w:t>
      </w:r>
      <w:r w:rsidRPr="003B4D0E">
        <w:rPr>
          <w:rFonts w:cstheme="minorHAnsi"/>
          <w:b/>
          <w:szCs w:val="20"/>
        </w:rPr>
        <w:t xml:space="preserve"> </w:t>
      </w:r>
      <w:r w:rsidRPr="003B4D0E">
        <w:rPr>
          <w:rFonts w:cstheme="minorHAnsi"/>
          <w:szCs w:val="20"/>
        </w:rPr>
        <w:t xml:space="preserve">W ramach obsługi zgłoszeń będą świadczone niezbędne konsultacje </w:t>
      </w:r>
      <w:r w:rsidRPr="003B4D0E">
        <w:rPr>
          <w:rFonts w:cstheme="minorHAnsi"/>
          <w:szCs w:val="20"/>
        </w:rPr>
        <w:lastRenderedPageBreak/>
        <w:t>eksperckie przez profesjonalnego pełnomocnika posiadającego tytuł rzecznika patentowego i/lub europejskiego rzecznika patentowego obejmujące doradztwo w zakresie prawa własności intelektualnej oraz prawa własności przemysłowej, szczególnie w zakresie oceny zdolności patentowej i czystości patentowej rozwiązań, doradztwo w zakresie optymalizacji kosztów ochrony patentowej, ponadto doraźne konsultacje w zakresie opinii prawnych i umów o wspólności praw, umów licencyjnych, umów przeniesienia praw własności intelektualnej oraz innych umów dotyczących rozpowszechniania i stosowania rozwiązań chronionych i niechronionych, umów dotyczących know-how i innych w zakresie ochrony, a także udział w mediacjach i negocjacjach z kontrahentami w sprawach z zakresu własności intelektualnej.</w:t>
      </w:r>
    </w:p>
    <w:p w14:paraId="6888F3DD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ind w:left="851" w:hanging="567"/>
        <w:contextualSpacing w:val="0"/>
        <w:rPr>
          <w:rFonts w:cstheme="minorHAnsi"/>
          <w:b/>
          <w:bCs/>
          <w:szCs w:val="20"/>
        </w:rPr>
      </w:pPr>
      <w:r w:rsidRPr="003B4D0E">
        <w:rPr>
          <w:rFonts w:cstheme="minorHAnsi"/>
          <w:szCs w:val="20"/>
        </w:rPr>
        <w:t>Przygotowanie pełnej dokumentacji zgłoszeniowej, dokonanie zgłoszenia rozwiązania oraz obsługę zgłoszeń w systemie jednolitego patentu Europejskiego</w:t>
      </w:r>
      <w:r w:rsidRPr="003B4D0E">
        <w:rPr>
          <w:rFonts w:cstheme="minorHAnsi"/>
          <w:b/>
          <w:bCs/>
          <w:szCs w:val="20"/>
        </w:rPr>
        <w:t xml:space="preserve"> </w:t>
      </w:r>
      <w:r w:rsidRPr="003B4D0E">
        <w:rPr>
          <w:rFonts w:cstheme="minorHAnsi"/>
          <w:szCs w:val="20"/>
        </w:rPr>
        <w:t>poprzez korespondencję z EPO w ramach nowych postępowań zgłoszeniowych, przekazywanie korespondencji, przygotowywanie i składanie odpowiedzi na pisma obejmujące redagowanie opisów patentowych, zastrzeżeń patentowych, dosyłanie dokumentacji, składanie tłumaczeń itp., w tym odpowiedzi na zarzuty stawiane rozwiązaniom zgłaszanym przez Zamawiającego oraz w razie potrzeby bieżącą korespondencję bezpośrednio z Twórcą rozwiązania. Obsługa zgłoszenia obejmuje także monitoring i informowanie Zamawiającego o terminach i wysokości opłat urzędowych w ramach procedury jednolitego patentu europejskiego przed EPO.</w:t>
      </w:r>
      <w:r w:rsidRPr="003B4D0E">
        <w:rPr>
          <w:rFonts w:cstheme="minorHAnsi"/>
          <w:b/>
          <w:bCs/>
          <w:szCs w:val="20"/>
        </w:rPr>
        <w:t xml:space="preserve"> </w:t>
      </w:r>
      <w:r w:rsidRPr="003B4D0E">
        <w:rPr>
          <w:rFonts w:cstheme="minorHAnsi"/>
          <w:szCs w:val="20"/>
        </w:rPr>
        <w:t>W ramach obsługi zgłoszeń będą świadczone</w:t>
      </w:r>
      <w:r w:rsidRPr="003B4D0E">
        <w:rPr>
          <w:rFonts w:cstheme="minorHAnsi"/>
          <w:b/>
          <w:bCs/>
          <w:szCs w:val="20"/>
        </w:rPr>
        <w:t xml:space="preserve"> </w:t>
      </w:r>
      <w:r w:rsidRPr="003B4D0E">
        <w:rPr>
          <w:rFonts w:cstheme="minorHAnsi"/>
          <w:szCs w:val="20"/>
        </w:rPr>
        <w:t xml:space="preserve">niezbędne konsultacje eksperckie przez profesjonalnego pełnomocnika posiadającego tytuł rzecznika patentowego i/lub europejskiego rzecznika patentowego obejmujące doradztwo w zakresie prawa własności intelektualnej oraz prawa własności przemysłowej, szczególnie w zakresie oceny zdolności patentowej i czystości patentowej rozwiązań, doradztwo w zakresie optymalizacji kosztów ochrony patentowej, ponadto doraźne konsultacje w zakresie opinii prawnych i umów o wspólności praw, umów licencyjnych, umów przeniesienia praw własności intelektualnej </w:t>
      </w:r>
      <w:r w:rsidRPr="003B4D0E">
        <w:rPr>
          <w:rFonts w:cstheme="minorHAnsi"/>
          <w:szCs w:val="20"/>
        </w:rPr>
        <w:lastRenderedPageBreak/>
        <w:t>oraz innych umów dotyczących rozpowszechniania i stosowania rozwiązań chronionych i niechronionych, umów dotyczących know-how i innych w zakresie ochrony, a także udział w mediacjach i negocjacjach z kontrahentami w sprawach z zakresu własności intelektualnej</w:t>
      </w:r>
      <w:r w:rsidRPr="003B4D0E">
        <w:rPr>
          <w:rFonts w:cstheme="minorHAnsi"/>
          <w:b/>
          <w:bCs/>
          <w:szCs w:val="20"/>
        </w:rPr>
        <w:t>.</w:t>
      </w:r>
    </w:p>
    <w:p w14:paraId="69005108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Kontynuacja/przejęcie postępowań dotyczących praw własności intelektualnej we wskazanym przez Zamawiającego Urzędzie lub organie, które są w toku u Zamawiającego lub na które Zamawiający posiada już prawa, według potrzeb Zamawiającego (rozliczenie na podstawie ceny jednostkowej z pkt 7-8 formularza wyceny w zależności od złożonego zamówienia).</w:t>
      </w:r>
    </w:p>
    <w:p w14:paraId="4C318163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Konsultacje odnośnie nowych i kolejnych zgłoszeń patentowych dla wynalazku (tryb PCT/fazy krajowe/przed EPO) zgodnie z potrzebą Zamawiającego z uwzględnieniem istniejących raportów o stanie techniki i nowych wyników badań (w przypadku, gdy od momentu dokonania pierwszego zgłoszenia do zgłoszeń międzynarodowych zostały wykonane dodatkowe badania mogące wzmocnić zgłoszenie patentowe).</w:t>
      </w:r>
    </w:p>
    <w:p w14:paraId="223D98DF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W wyjątkowych przypadkach, dla spraw trudnych merytorycznie, na każdym etapie procedury związanej z danym wynalazkiem, Zamawiający może zaproponować zaangażowanie dodatkowego zewnętrznego eksperta, a Wykonawca zobowiązany będzie do współpracy z tym ekspertem. Za zatrudnienie „ekstra eksperta” będzie odpowiedzialny Zamawiający.</w:t>
      </w:r>
    </w:p>
    <w:p w14:paraId="301E57B0" w14:textId="45A5EF37" w:rsidR="003B4D0E" w:rsidRPr="003E2D2A" w:rsidRDefault="003B4D0E" w:rsidP="003B4D0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>III. Prawo opcji zgodnie z art. 441 PZP</w:t>
      </w:r>
    </w:p>
    <w:p w14:paraId="1716C904" w14:textId="330015B6" w:rsidR="003B4D0E" w:rsidRPr="003B4D0E" w:rsidRDefault="003B4D0E" w:rsidP="0672AE50">
      <w:pPr>
        <w:spacing w:before="120" w:after="120" w:line="360" w:lineRule="auto"/>
        <w:jc w:val="both"/>
        <w:rPr>
          <w:rFonts w:asciiTheme="minorHAnsi" w:eastAsia="Verdana" w:hAnsiTheme="minorHAnsi"/>
          <w:color w:val="000000" w:themeColor="text1"/>
          <w:sz w:val="20"/>
          <w:szCs w:val="20"/>
        </w:rPr>
      </w:pPr>
      <w:r w:rsidRPr="0672AE50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Zamawiający zastrzega, że szacowane maksymalne ilości przedmiotu zamówienia zostały określone w załączniku nr 10 do SWZ – Formularzu wyceny. Szacowane wartości mają charakter maksymalny a Zamawiający posiada możliwość dostosowania liczby zleceń w ramach powyżej wskazanych kategorii do swoich aktualnych potrzeb z uwzględnieniem zapisów wzoru umowy na podstawie składanych zamówień.   </w:t>
      </w:r>
    </w:p>
    <w:p w14:paraId="54229749" w14:textId="0B8C5CAA" w:rsidR="003B4D0E" w:rsidRPr="00076AA7" w:rsidRDefault="003B4D0E" w:rsidP="00076AA7">
      <w:pPr>
        <w:spacing w:before="120" w:after="120" w:line="360" w:lineRule="auto"/>
        <w:jc w:val="both"/>
        <w:rPr>
          <w:rFonts w:asciiTheme="minorHAnsi" w:eastAsia="Verdana" w:hAnsiTheme="minorHAnsi"/>
          <w:color w:val="000000" w:themeColor="text1"/>
          <w:sz w:val="20"/>
          <w:szCs w:val="20"/>
        </w:rPr>
      </w:pP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lastRenderedPageBreak/>
        <w:t xml:space="preserve">Zamawiający zastrzega, że wartością gwarantowaną jaką Zamawiający wykorzysta w trakcie trwania umowy jest </w:t>
      </w:r>
      <w:r w:rsidR="00F86809">
        <w:rPr>
          <w:rFonts w:asciiTheme="minorHAnsi" w:eastAsia="Verdana" w:hAnsiTheme="minorHAnsi"/>
          <w:color w:val="000000" w:themeColor="background2"/>
          <w:sz w:val="20"/>
          <w:szCs w:val="20"/>
        </w:rPr>
        <w:t>20</w:t>
      </w: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% wynagrodzenia brutto umowy. Przedmiot Umowy będzie realizowany na podstawie zamówień składanych pocztą elektroniczną przez osobę upoważnioną zgodnie z Umową. Pozostałe </w:t>
      </w:r>
      <w:r w:rsidR="00F86809">
        <w:rPr>
          <w:rFonts w:asciiTheme="minorHAnsi" w:eastAsia="Verdana" w:hAnsiTheme="minorHAnsi"/>
          <w:color w:val="000000" w:themeColor="background2"/>
          <w:sz w:val="20"/>
          <w:szCs w:val="20"/>
        </w:rPr>
        <w:t>80</w:t>
      </w: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 % wynagrodzenia brutto umowy może zostać wykorzystane zgodnie z zapotrzebowaniem Zamawiającego w ramach prawa opcji wielokrotnie według potrzeb Zamawiającego. </w:t>
      </w:r>
      <w:r w:rsidRPr="4B300DB1">
        <w:rPr>
          <w:rFonts w:asciiTheme="minorHAnsi" w:eastAsia="Verdana" w:hAnsiTheme="minorHAnsi"/>
          <w:sz w:val="20"/>
          <w:szCs w:val="20"/>
        </w:rPr>
        <w:t xml:space="preserve">Realizowanie prawa opcji będzie wykonywane na podstawie oświadczenia woli Zamawiającego (w formie pisemnej, za pomocą poczty elektronicznej lub w postaci elektronicznej opatrzonej kwalifikowanym podpisem elektronicznym) wykonanego przez Zamawiającego nie później niż do upływu 46 miesiąca trwania Umowy a Wykonawca będzie zobligowany podjąć się jego realizacji w ramach Umowy. Po upływie terminu, o którym mowa w zdaniu poprzedzającym prawo opcji wygasa. Realizacja opcji będzie odbywała się w oparciu o ceny jednostkowe (stawki) określone w Formularzu wyceny zał. Nr </w:t>
      </w:r>
      <w:r w:rsidR="516472DD" w:rsidRPr="253A575C">
        <w:rPr>
          <w:rFonts w:asciiTheme="minorHAnsi" w:eastAsia="Verdana" w:hAnsiTheme="minorHAnsi"/>
          <w:sz w:val="20"/>
          <w:szCs w:val="20"/>
        </w:rPr>
        <w:t>10</w:t>
      </w:r>
      <w:r w:rsidRPr="4B300DB1">
        <w:rPr>
          <w:rFonts w:asciiTheme="minorHAnsi" w:eastAsia="Verdana" w:hAnsiTheme="minorHAnsi"/>
          <w:sz w:val="20"/>
          <w:szCs w:val="20"/>
        </w:rPr>
        <w:t xml:space="preserve"> do </w:t>
      </w:r>
      <w:r w:rsidR="006A2A26">
        <w:rPr>
          <w:rFonts w:asciiTheme="minorHAnsi" w:eastAsia="Verdana" w:hAnsiTheme="minorHAnsi"/>
          <w:sz w:val="20"/>
          <w:szCs w:val="20"/>
        </w:rPr>
        <w:t>SWZ</w:t>
      </w:r>
      <w:r w:rsidRPr="4B300DB1">
        <w:rPr>
          <w:rFonts w:asciiTheme="minorHAnsi" w:eastAsia="Verdana" w:hAnsiTheme="minorHAnsi"/>
          <w:sz w:val="20"/>
          <w:szCs w:val="20"/>
        </w:rPr>
        <w:t xml:space="preserve"> i w Umowie oraz na zasadach określonych w Umowie. </w:t>
      </w: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Nieskorzystanie przez Zamawiającego z prawa opcji nie rodzi po stronie Wykonawcy żadnych roszczeń względem Zamawiającego. </w:t>
      </w:r>
      <w:r w:rsidRPr="4B300DB1">
        <w:rPr>
          <w:rFonts w:asciiTheme="minorHAnsi" w:eastAsia="Calibri" w:hAnsiTheme="minorHAnsi"/>
          <w:sz w:val="20"/>
          <w:szCs w:val="20"/>
        </w:rPr>
        <w:t xml:space="preserve"> </w:t>
      </w:r>
    </w:p>
    <w:p w14:paraId="4E12ABA7" w14:textId="6F12171B" w:rsidR="003B4D0E" w:rsidRPr="003E2D2A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D2A">
        <w:rPr>
          <w:rFonts w:asciiTheme="minorHAnsi" w:hAnsiTheme="minorHAnsi" w:cstheme="minorHAnsi"/>
          <w:b/>
          <w:sz w:val="20"/>
          <w:szCs w:val="20"/>
        </w:rPr>
        <w:t>IV. Przedmiot zamówienia realizowany będzie w szczególności w następujących formach:</w:t>
      </w:r>
    </w:p>
    <w:p w14:paraId="3D50013B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a) przygotowywanie opinii i informacji prawnych, obejmujące swym zakresem opis stanu faktycznego sprawy i wskazanie ustaleń i rekomendacji prawnych lub strategii;</w:t>
      </w:r>
    </w:p>
    <w:p w14:paraId="414C0CED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b) sporządzanie projektów dokumentów, wniosków patentowych, regulacji wewnętrznych, umów, aneksów, porozumień, raportów, propozycji scenariuszy działań prawnych, propozycji rozstrzygnięć danej sprawy wraz ze wskazaniem podstawy prawnej;</w:t>
      </w:r>
    </w:p>
    <w:p w14:paraId="1D98A76F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c) udział w spotkaniach wewnętrznych i zewnętrznych, negocjacjach, posiedzeniach organów, postępowaniach przed organami administracji związanych z realizacją powierzonych usług</w:t>
      </w:r>
    </w:p>
    <w:p w14:paraId="045BFDCF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d) przygotowywania w formie raportu oceny zgodności podejmowanych działań, w tym realizowanych, przedsięwzięć, bądź przygotowywanych dokumentów z obowiązującymi przepisami prawa;</w:t>
      </w:r>
    </w:p>
    <w:p w14:paraId="0D9AFB35" w14:textId="7D09A775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lastRenderedPageBreak/>
        <w:t>e) konsultacje telefoniczne i mailowe.</w:t>
      </w:r>
    </w:p>
    <w:p w14:paraId="6B854664" w14:textId="754EA745" w:rsidR="00EB3E5D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 xml:space="preserve">Opłaty sądowe i patentowe pokrywa Zamawiający. 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Usługi nie powinny uwzględniać opłat urzędowych (Wykonawca wezwie Zamawiającego do wniesienia wymaganych opłat urzędowych lub zostaną one refakturowane przez wykonawcę na Zamawiającego). Zamawiający zastrzega więc możliwość wnoszenia opłat przez </w:t>
      </w:r>
      <w:r w:rsidR="006D75B6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ykonawcę w imieniu Zamawiającego.</w:t>
      </w:r>
    </w:p>
    <w:p w14:paraId="4FF15CB9" w14:textId="77777777" w:rsidR="003B4D0E" w:rsidRPr="003E2D2A" w:rsidRDefault="003B4D0E" w:rsidP="003B4D0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 xml:space="preserve">V. Terminy realizacji Przedmiotu Umowy: </w:t>
      </w:r>
    </w:p>
    <w:p w14:paraId="3F7ACA88" w14:textId="797F166C" w:rsidR="003B4D0E" w:rsidRPr="003B4D0E" w:rsidRDefault="003B4D0E" w:rsidP="002A1E31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48 miesięcy, przy czym termin realizacji poszczególnych zamówień na Usługi składanych według potrzeb Zamawiającego będzie realizowany według poniższych zasad:</w:t>
      </w:r>
    </w:p>
    <w:p w14:paraId="64B8A616" w14:textId="77777777" w:rsidR="003B4D0E" w:rsidRPr="003B4D0E" w:rsidRDefault="003B4D0E" w:rsidP="002A1E3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Wykonawca zobowiązuje się do przekazywania Zamawiającemu wszelkich potwierdzeń dokumentujących przebieg prowadzonych postępowań przed urzędami patentowymi (potwierdzeń urzędowych, kopii korespondencji z urzędami patentowymi, przeprowadzonych analiz i innej dokumentacji) związanych ze świadczeniem Usług w ramach niniejszej Umowy. Dokumenty, o których mowa w zdaniu poprzedzającym, przekazywane będą Zamawiającemu na wskazany adres mailowy Zamawiającego w formie elektronicznej lub w postaci elektronicznej (w zależności od tego w jakiej formie dokument będzie wytworzony) niezwłocznie po otrzymaniu ich przez Wykonawcę lub wygenerowaniu stosownych dokumentów, jednak nie później niż w terminie </w:t>
      </w:r>
      <w:r w:rsidRPr="003B4D0E">
        <w:rPr>
          <w:rFonts w:eastAsia="Calibri" w:cstheme="minorHAnsi"/>
          <w:b/>
          <w:bCs/>
          <w:szCs w:val="20"/>
        </w:rPr>
        <w:t>10 dni roboczych</w:t>
      </w:r>
      <w:r w:rsidRPr="003B4D0E">
        <w:rPr>
          <w:rFonts w:eastAsia="Calibri" w:cstheme="minorHAnsi"/>
          <w:szCs w:val="20"/>
        </w:rPr>
        <w:t xml:space="preserve"> od daty każdorazowego dokonania poszczególnej czynności.</w:t>
      </w:r>
    </w:p>
    <w:p w14:paraId="1AC87C4D" w14:textId="77777777" w:rsidR="003B4D0E" w:rsidRPr="003B4D0E" w:rsidRDefault="003B4D0E" w:rsidP="002A1E3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Każdorazowe konsultacje, o których mowa w OPZ, obejmujące w szczególności udzielanie porad, sporządzanie analiz lub opinii, powinny odbyć się w terminie </w:t>
      </w:r>
      <w:r w:rsidRPr="003B4D0E">
        <w:rPr>
          <w:rFonts w:eastAsia="Calibri" w:cstheme="minorHAnsi"/>
          <w:b/>
          <w:bCs/>
          <w:szCs w:val="20"/>
        </w:rPr>
        <w:t>do 2 tygodni</w:t>
      </w:r>
      <w:r w:rsidRPr="003B4D0E">
        <w:rPr>
          <w:rFonts w:eastAsia="Calibri" w:cstheme="minorHAnsi"/>
          <w:szCs w:val="20"/>
        </w:rPr>
        <w:t xml:space="preserve"> od każdorazowego zgłoszenia zlecenia przez Zamawiającego. Konsultacje powinny odbyć się w sposób i w miejscu wskazanym przez Zamawiającego, tj. w sposób niestacjonarny (przy użyciu środków komunikacji elektronicznej) lub w sposób stacjonarny (w siedzibie Zamawiającego lub Wykonawcy lub w innym miejscu wskazanym przez Zamawiającego). W przypadku zlecenia polegającego na sporządzeniu przez Wykonawcę analizy, opinii </w:t>
      </w:r>
      <w:r w:rsidRPr="003B4D0E">
        <w:rPr>
          <w:rFonts w:eastAsia="Calibri" w:cstheme="minorHAnsi"/>
          <w:szCs w:val="20"/>
        </w:rPr>
        <w:lastRenderedPageBreak/>
        <w:t>lub innego tego rodzaju dokumentu, forma wykonania zlecenia zostanie każdorazowo wskazana przez Zamawiającego.</w:t>
      </w:r>
    </w:p>
    <w:p w14:paraId="18555571" w14:textId="77777777" w:rsidR="003B4D0E" w:rsidRPr="003B4D0E" w:rsidRDefault="003B4D0E" w:rsidP="002A1E3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Termin realizacji części przedmiotu niniejszej Umowy wskazanego w pkt 1 lub 3 OPZ, wynosi </w:t>
      </w:r>
      <w:r w:rsidRPr="003B4D0E">
        <w:rPr>
          <w:rFonts w:eastAsia="Calibri" w:cstheme="minorHAnsi"/>
          <w:b/>
          <w:bCs/>
          <w:szCs w:val="20"/>
        </w:rPr>
        <w:t>20 dni roboczych</w:t>
      </w:r>
      <w:r w:rsidRPr="003B4D0E">
        <w:rPr>
          <w:rFonts w:eastAsia="Calibri" w:cstheme="minorHAnsi"/>
          <w:szCs w:val="20"/>
        </w:rPr>
        <w:t xml:space="preserve"> od dnia dostarczenia Wykonawcy przez Zamawiającego materiałów dotyczących danego zlecenia.</w:t>
      </w:r>
    </w:p>
    <w:p w14:paraId="1CBB7DC2" w14:textId="77777777" w:rsidR="003B4D0E" w:rsidRPr="003B4D0E" w:rsidRDefault="003B4D0E" w:rsidP="002A1E3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Termin realizacji poszczególnych części przedmiotu niniejszej Umowy wskazanych w pkt. 2 OPZ, wynosi </w:t>
      </w:r>
      <w:r w:rsidRPr="003B4D0E">
        <w:rPr>
          <w:rFonts w:eastAsia="Calibri" w:cstheme="minorHAnsi"/>
          <w:b/>
          <w:bCs/>
          <w:szCs w:val="20"/>
        </w:rPr>
        <w:t>10 dni roboczych</w:t>
      </w:r>
      <w:r w:rsidRPr="003B4D0E">
        <w:rPr>
          <w:rFonts w:eastAsia="Calibri" w:cstheme="minorHAnsi"/>
          <w:szCs w:val="20"/>
        </w:rPr>
        <w:t xml:space="preserve"> od dnia dostarczenia Wykonawcy przez Zamawiającego kompletnych materiałów dotyczących danego zlecenia. </w:t>
      </w:r>
    </w:p>
    <w:p w14:paraId="5FD44DAC" w14:textId="77777777" w:rsidR="003B4D0E" w:rsidRPr="003B4D0E" w:rsidRDefault="003B4D0E" w:rsidP="002A1E3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Termin na opracowanie opisu patentowego i zgłoszenie patentowe, o których mowa w pkt 9-11 OPZ, każdorazowo wynoszą </w:t>
      </w:r>
      <w:r w:rsidRPr="003B4D0E">
        <w:rPr>
          <w:rFonts w:eastAsia="Calibri" w:cstheme="minorHAnsi"/>
          <w:b/>
          <w:bCs/>
          <w:szCs w:val="20"/>
        </w:rPr>
        <w:t>20 dni roboczych</w:t>
      </w:r>
      <w:r w:rsidRPr="003B4D0E">
        <w:rPr>
          <w:rFonts w:eastAsia="Calibri" w:cstheme="minorHAnsi"/>
          <w:szCs w:val="20"/>
        </w:rPr>
        <w:t xml:space="preserve"> od dnia dostarczenia Wykonawcy przez Zamawiającego kompletnych materiałów dotyczących danego Zlecenia. </w:t>
      </w:r>
    </w:p>
    <w:p w14:paraId="6EB4A349" w14:textId="77777777" w:rsidR="003B4D0E" w:rsidRPr="003B4D0E" w:rsidRDefault="003B4D0E" w:rsidP="002A1E3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Verdana" w:cstheme="minorHAnsi"/>
          <w:szCs w:val="20"/>
        </w:rPr>
        <w:t xml:space="preserve">Terminy na wyznaczenie konsultacji lub spotkań/doradztwa nie mogą przekroczyć </w:t>
      </w:r>
      <w:r w:rsidRPr="003B4D0E">
        <w:rPr>
          <w:rFonts w:eastAsia="Verdana" w:cstheme="minorHAnsi"/>
          <w:b/>
          <w:bCs/>
          <w:szCs w:val="20"/>
        </w:rPr>
        <w:t>3 dni roboczych</w:t>
      </w:r>
      <w:r w:rsidRPr="003B4D0E">
        <w:rPr>
          <w:rFonts w:eastAsia="Verdana" w:cstheme="minorHAnsi"/>
          <w:szCs w:val="20"/>
        </w:rPr>
        <w:t xml:space="preserve"> od dnia otrzymania zlecenia przez Wykonawcę. Termin na przygotowanie odpowiednich opinii lub analiz zostanie uzgodniony przez Strony, z uwzględnieniem potrzeb Zamawiającego</w:t>
      </w:r>
    </w:p>
    <w:p w14:paraId="22E925A0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 xml:space="preserve">Terminy pozostałych zadań określane są przez krajowe i zagraniczne regionalne urzędy ds. własności przemysłowej. Wykonawca zobowiązuje się przestrzegać wszystkich terminów narzuconych przez poszczególne urzędy na każdym etapie zgłoszenia i dopilnować dotrzymywania tych terminów przez pełnomocników w krajach, w których będą prowadzone procedury. </w:t>
      </w:r>
    </w:p>
    <w:p w14:paraId="118E9D10" w14:textId="1B8C18AF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Terminy nieokreślone w OPZ będą precyzowane w zamówieniu składanym przez Zamawiającego.</w:t>
      </w:r>
    </w:p>
    <w:p w14:paraId="5BABBD04" w14:textId="7CE2BADB" w:rsidR="00ED7972" w:rsidRPr="003B4D0E" w:rsidRDefault="00ED7972" w:rsidP="00076AA7">
      <w:pPr>
        <w:pStyle w:val="Akapitzlist"/>
        <w:spacing w:before="120" w:after="120" w:line="257" w:lineRule="auto"/>
        <w:ind w:left="568"/>
        <w:contextualSpacing w:val="0"/>
        <w:rPr>
          <w:rFonts w:eastAsia="Verdana"/>
        </w:rPr>
      </w:pPr>
    </w:p>
    <w:sectPr w:rsidR="00ED7972" w:rsidRPr="003B4D0E" w:rsidSect="009B3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FDD7" w14:textId="77777777" w:rsidR="00C4152C" w:rsidRDefault="00C4152C" w:rsidP="006747BD">
      <w:r>
        <w:separator/>
      </w:r>
    </w:p>
  </w:endnote>
  <w:endnote w:type="continuationSeparator" w:id="0">
    <w:p w14:paraId="2C21324E" w14:textId="77777777" w:rsidR="00C4152C" w:rsidRDefault="00C4152C" w:rsidP="006747BD">
      <w:r>
        <w:continuationSeparator/>
      </w:r>
    </w:p>
  </w:endnote>
  <w:endnote w:type="continuationNotice" w:id="1">
    <w:p w14:paraId="0BE745DF" w14:textId="77777777" w:rsidR="00C4152C" w:rsidRDefault="00C41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7BDF" w14:textId="77777777" w:rsidR="009B3D37" w:rsidRDefault="009B3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132023F8" w:rsidR="00D40690" w:rsidRDefault="000571F1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3109E76" wp14:editId="48DD3748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-152400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>
                    <v:line id="Łącznik prosty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85.1pt,-12pt" to="406.9pt,-12pt" w14:anchorId="54B9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 w:rsidR="003D7E4E">
              <w:rPr>
                <w:noProof/>
                <w:lang w:eastAsia="pl-PL"/>
              </w:rPr>
              <w:drawing>
                <wp:anchor distT="0" distB="0" distL="114300" distR="114300" simplePos="0" relativeHeight="251658247" behindDoc="1" locked="0" layoutInCell="1" allowOverlap="1" wp14:anchorId="392255DD" wp14:editId="082E1A81">
                  <wp:simplePos x="0" y="0"/>
                  <wp:positionH relativeFrom="column">
                    <wp:posOffset>-1080770</wp:posOffset>
                  </wp:positionH>
                  <wp:positionV relativeFrom="paragraph">
                    <wp:posOffset>28575</wp:posOffset>
                  </wp:positionV>
                  <wp:extent cx="1329311" cy="624840"/>
                  <wp:effectExtent l="0" t="0" r="0" b="3810"/>
                  <wp:wrapNone/>
                  <wp:docPr id="328" name="Obraz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11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4A2673C" w14:textId="0632478E" w:rsidR="00D40690" w:rsidRDefault="00DA52A1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4AEF28C" wp14:editId="7EA2EB18">
              <wp:simplePos x="0" y="0"/>
              <wp:positionH relativeFrom="margin">
                <wp:posOffset>357505</wp:posOffset>
              </wp:positionH>
              <wp:positionV relativeFrom="page">
                <wp:posOffset>9620250</wp:posOffset>
              </wp:positionV>
              <wp:extent cx="4838700" cy="624840"/>
              <wp:effectExtent l="0" t="0" r="0" b="3810"/>
              <wp:wrapNone/>
              <wp:docPr id="8" name="Pole tekstow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60268" w14:textId="00A35916" w:rsidR="00EF14D2" w:rsidRPr="00EF14D2" w:rsidRDefault="00EF14D2" w:rsidP="00EF14D2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EF14D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Departament WIB | www.wib.port.org.pl, wib@port.lukasiewicz.gov.pl</w:t>
                          </w:r>
                        </w:p>
                        <w:p w14:paraId="68729D3B" w14:textId="4B21FCA4" w:rsidR="00A4666C" w:rsidRPr="003D7E4E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Sieć Badawcza Łukasiewicz – PORT Polski Ośrodek Rozwoju Technologii</w:t>
                          </w:r>
                        </w:p>
                        <w:p w14:paraId="1006DC5E" w14:textId="77777777" w:rsidR="00A4666C" w:rsidRPr="003D7E4E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54-066 Wrocław, ul. Stabłowicka 147, Tel: +48 71 734 77 77, Fax: +48 71 720 16 00</w:t>
                          </w:r>
                        </w:p>
                        <w:p w14:paraId="142A1B3B" w14:textId="2C1ABF84" w:rsidR="00DA52A1" w:rsidRPr="003D7E4E" w:rsidRDefault="00A4666C" w:rsidP="006F645A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E-mail: biuro@port.</w:t>
                          </w:r>
                          <w:r w:rsidR="0039324B" w:rsidRPr="003D7E4E">
                            <w:rPr>
                              <w:sz w:val="13"/>
                              <w:szCs w:val="13"/>
                            </w:rPr>
                            <w:t>lukasiewicz.gov</w:t>
                          </w:r>
                          <w:r w:rsidRPr="003D7E4E">
                            <w:rPr>
                              <w:sz w:val="13"/>
                              <w:szCs w:val="13"/>
                            </w:rPr>
                            <w:t xml:space="preserve">.pl | NIP: 894 314 05 23, REGON: </w:t>
                          </w:r>
                          <w:r w:rsidR="00274A7A" w:rsidRPr="003D7E4E">
                            <w:rPr>
                              <w:sz w:val="13"/>
                              <w:szCs w:val="13"/>
                            </w:rPr>
                            <w:t>386585168</w:t>
                          </w:r>
                          <w:r w:rsidR="003D7E4E" w:rsidRPr="003D7E4E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3D7E4E">
                            <w:rPr>
                              <w:sz w:val="13"/>
                              <w:szCs w:val="13"/>
                            </w:rPr>
                            <w:t xml:space="preserve">| </w:t>
                          </w:r>
                          <w:r w:rsidR="00ED7972" w:rsidRPr="003D7E4E">
                            <w:rPr>
                              <w:sz w:val="13"/>
                              <w:szCs w:val="13"/>
                            </w:rPr>
                            <w:t xml:space="preserve">Sąd Rejonowy dla Wrocławia – Fabrycznej we Wrocławiu, VI Wydział Gospodarczy KRS, Nr KRS: </w:t>
                          </w:r>
                          <w:r w:rsidR="0039324B" w:rsidRPr="003D7E4E">
                            <w:rPr>
                              <w:sz w:val="13"/>
                              <w:szCs w:val="13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34AEF28C">
              <v:stroke joinstyle="miter"/>
              <v:path gradientshapeok="t" o:connecttype="rect"/>
            </v:shapetype>
            <v:shape id="Pole tekstowe 8" style="position:absolute;margin-left:28.15pt;margin-top:757.5pt;width:381pt;height:49.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">
              <o:lock v:ext="edit" aspectratio="t"/>
              <v:textbox inset="0,0,0,0">
                <w:txbxContent>
                  <w:p w:rsidRPr="00EF14D2" w:rsidR="00EF14D2" w:rsidP="00EF14D2" w:rsidRDefault="00EF14D2" w14:paraId="71E60268" w14:textId="00A35916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EF14D2">
                      <w:rPr>
                        <w:b/>
                        <w:bCs/>
                        <w:sz w:val="13"/>
                        <w:szCs w:val="13"/>
                      </w:rPr>
                      <w:t>Departament WIB | www.wib.port.org.pl, wib@port.lukasiewicz.gov.pl</w:t>
                    </w:r>
                  </w:p>
                  <w:p w:rsidRPr="003D7E4E" w:rsidR="00A4666C" w:rsidP="00A4666C" w:rsidRDefault="00A4666C" w14:paraId="68729D3B" w14:textId="4B21FCA4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Sieć Badawcza Łukasiewicz – PORT Polski Ośrodek Rozwoju Technologii</w:t>
                    </w:r>
                  </w:p>
                  <w:p w:rsidRPr="003D7E4E" w:rsidR="00A4666C" w:rsidP="00A4666C" w:rsidRDefault="00A4666C" w14:paraId="1006DC5E" w14:textId="77777777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54-066 Wrocław, ul. Stabłowicka 147, Tel: +48 71 734 77 77, Fax: +48 71 720 16 00</w:t>
                    </w:r>
                  </w:p>
                  <w:p w:rsidRPr="003D7E4E" w:rsidR="00DA52A1" w:rsidP="006F645A" w:rsidRDefault="00A4666C" w14:paraId="142A1B3B" w14:textId="2C1ABF84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E-mail: biuro@port.</w:t>
                    </w:r>
                    <w:r w:rsidRPr="003D7E4E" w:rsidR="0039324B">
                      <w:rPr>
                        <w:sz w:val="13"/>
                        <w:szCs w:val="13"/>
                      </w:rPr>
                      <w:t>lukasiewicz.gov</w:t>
                    </w:r>
                    <w:r w:rsidRPr="003D7E4E">
                      <w:rPr>
                        <w:sz w:val="13"/>
                        <w:szCs w:val="13"/>
                      </w:rPr>
                      <w:t xml:space="preserve">.pl | NIP: 894 314 05 23, REGON: </w:t>
                    </w:r>
                    <w:r w:rsidRPr="003D7E4E" w:rsidR="00274A7A">
                      <w:rPr>
                        <w:sz w:val="13"/>
                        <w:szCs w:val="13"/>
                      </w:rPr>
                      <w:t>386585168</w:t>
                    </w:r>
                    <w:r w:rsidRPr="003D7E4E" w:rsidR="003D7E4E">
                      <w:rPr>
                        <w:sz w:val="13"/>
                        <w:szCs w:val="13"/>
                      </w:rPr>
                      <w:t xml:space="preserve"> </w:t>
                    </w:r>
                    <w:r w:rsidR="003D7E4E">
                      <w:rPr>
                        <w:sz w:val="13"/>
                        <w:szCs w:val="13"/>
                      </w:rPr>
                      <w:t xml:space="preserve">| </w:t>
                    </w:r>
                    <w:r w:rsidRPr="003D7E4E" w:rsidR="00ED7972">
                      <w:rPr>
                        <w:sz w:val="13"/>
                        <w:szCs w:val="13"/>
                      </w:rPr>
                      <w:t xml:space="preserve">Sąd Rejonowy dla Wrocławia – Fabrycznej we Wrocławiu, VI Wydział Gospodarczy KRS, Nr KRS: </w:t>
                    </w:r>
                    <w:r w:rsidRPr="003D7E4E" w:rsidR="0039324B">
                      <w:rPr>
                        <w:sz w:val="13"/>
                        <w:szCs w:val="13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C00201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00201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C00201">
                            <w:rPr>
                              <w:lang w:val="en-US"/>
                            </w:rPr>
                            <w:t>biuro</w:t>
                          </w:r>
                          <w:r w:rsidRPr="00C00201">
                            <w:rPr>
                              <w:lang w:val="en-US"/>
                            </w:rPr>
                            <w:t>@</w:t>
                          </w:r>
                          <w:r w:rsidR="005D102F" w:rsidRPr="00C00201">
                            <w:rPr>
                              <w:lang w:val="en-US"/>
                            </w:rPr>
                            <w:t>port.</w:t>
                          </w:r>
                          <w:r w:rsidR="0039324B" w:rsidRPr="00C00201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C00201">
                            <w:rPr>
                              <w:lang w:val="en-US"/>
                            </w:rPr>
                            <w:t>.pl</w:t>
                          </w:r>
                          <w:r w:rsidRPr="00C00201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C00201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C0020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073EB2C0">
              <v:stroke joinstyle="miter"/>
              <v:path gradientshapeok="t" o:connecttype="rect"/>
            </v:shapetype>
            <v:shape id="Pole tekstowe 217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>
              <o:lock v:ext="edit" aspectratio="t"/>
              <v:textbox style="mso-fit-shape-to-text:t" inset="0,0,0,0">
                <w:txbxContent>
                  <w:p w:rsidR="00DA52A1" w:rsidP="00DA52A1" w:rsidRDefault="00DA52A1" w14:paraId="33B6BA3E" w14:textId="77777777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P="00DA52A1" w:rsidRDefault="005D102F" w14:paraId="04139F5D" w14:textId="77777777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Pr="00C00201" w:rsidR="00DA52A1" w:rsidP="00DA52A1" w:rsidRDefault="00DA52A1" w14:paraId="7FD56728" w14:textId="5D2C8402">
                    <w:pPr>
                      <w:pStyle w:val="LukStopka-adres"/>
                      <w:rPr>
                        <w:lang w:val="en-US"/>
                      </w:rPr>
                    </w:pPr>
                    <w:r w:rsidRPr="00C00201">
                      <w:rPr>
                        <w:lang w:val="en-US"/>
                      </w:rPr>
                      <w:t xml:space="preserve">E-mail: </w:t>
                    </w:r>
                    <w:r w:rsidRPr="00C00201" w:rsidR="005D102F">
                      <w:rPr>
                        <w:lang w:val="en-US"/>
                      </w:rPr>
                      <w:t>biuro</w:t>
                    </w:r>
                    <w:r w:rsidRPr="00C00201">
                      <w:rPr>
                        <w:lang w:val="en-US"/>
                      </w:rPr>
                      <w:t>@</w:t>
                    </w:r>
                    <w:r w:rsidRPr="00C00201" w:rsidR="005D102F">
                      <w:rPr>
                        <w:lang w:val="en-US"/>
                      </w:rPr>
                      <w:t>port.</w:t>
                    </w:r>
                    <w:r w:rsidRPr="00C00201" w:rsidR="0039324B">
                      <w:rPr>
                        <w:lang w:val="en-US"/>
                      </w:rPr>
                      <w:t>lukasiewicz.gov</w:t>
                    </w:r>
                    <w:r w:rsidRPr="00C00201" w:rsidR="005D102F">
                      <w:rPr>
                        <w:lang w:val="en-US"/>
                      </w:rPr>
                      <w:t>.pl</w:t>
                    </w:r>
                    <w:r w:rsidRPr="00C00201">
                      <w:rPr>
                        <w:lang w:val="en-US"/>
                      </w:rPr>
                      <w:t xml:space="preserve"> | NIP: </w:t>
                    </w:r>
                    <w:r w:rsidRPr="00C00201" w:rsidR="006F645A">
                      <w:rPr>
                        <w:lang w:val="en-US"/>
                      </w:rPr>
                      <w:t xml:space="preserve">894 314 05 23, REGON: </w:t>
                    </w:r>
                    <w:r w:rsidRPr="00C00201" w:rsidR="00274A7A">
                      <w:rPr>
                        <w:lang w:val="en-US"/>
                      </w:rPr>
                      <w:t>386585168</w:t>
                    </w:r>
                  </w:p>
                  <w:p w:rsidR="00ED7972" w:rsidP="00ED7972" w:rsidRDefault="00ED7972" w14:paraId="38E36876" w14:textId="7777777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Pr="00ED7972" w:rsidR="004F5805" w:rsidP="00ED7972" w:rsidRDefault="00ED7972" w14:paraId="072B4552" w14:textId="37CC1F6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 w:rsid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CF90" w14:textId="77777777" w:rsidR="00C4152C" w:rsidRDefault="00C4152C" w:rsidP="006747BD">
      <w:r>
        <w:separator/>
      </w:r>
    </w:p>
  </w:footnote>
  <w:footnote w:type="continuationSeparator" w:id="0">
    <w:p w14:paraId="18A54810" w14:textId="77777777" w:rsidR="00C4152C" w:rsidRDefault="00C4152C" w:rsidP="006747BD">
      <w:r>
        <w:continuationSeparator/>
      </w:r>
    </w:p>
  </w:footnote>
  <w:footnote w:type="continuationNotice" w:id="1">
    <w:p w14:paraId="47A4699F" w14:textId="77777777" w:rsidR="00C4152C" w:rsidRDefault="00C41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21C" w14:textId="77777777" w:rsidR="009B3D37" w:rsidRDefault="009B3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131" w14:textId="15786654" w:rsidR="00C00201" w:rsidRDefault="009B3D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7AE2801A" wp14:editId="54220FB0">
          <wp:simplePos x="0" y="0"/>
          <wp:positionH relativeFrom="column">
            <wp:posOffset>-1080770</wp:posOffset>
          </wp:positionH>
          <wp:positionV relativeFrom="paragraph">
            <wp:posOffset>292735</wp:posOffset>
          </wp:positionV>
          <wp:extent cx="688711" cy="1399335"/>
          <wp:effectExtent l="0" t="0" r="0" b="0"/>
          <wp:wrapNone/>
          <wp:docPr id="326" name="Obraz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93" cy="141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58246" behindDoc="1" locked="0" layoutInCell="1" allowOverlap="1" wp14:anchorId="14B73982" wp14:editId="60ADE9E3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shapetype id="_x0000_t32" coordsize="21600,21600" o:oned="t" filled="f" o:spt="32" path="m,l21600,21600e" w14:anchorId="63F93575">
              <v:path fillok="f" arrowok="t" o:connecttype="none"/>
              <o:lock v:ext="edit" shapetype="t"/>
            </v:shapetype>
            <v:shape id="Łącznik prosty ze strzałką 6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f243e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8B512"/>
    <w:multiLevelType w:val="hybridMultilevel"/>
    <w:tmpl w:val="836690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91073C9"/>
    <w:multiLevelType w:val="hybridMultilevel"/>
    <w:tmpl w:val="FFFFFFFF"/>
    <w:lvl w:ilvl="0" w:tplc="EFAE961A">
      <w:start w:val="1"/>
      <w:numFmt w:val="decimal"/>
      <w:lvlText w:val="%1."/>
      <w:lvlJc w:val="left"/>
      <w:pPr>
        <w:ind w:left="720" w:hanging="360"/>
      </w:pPr>
    </w:lvl>
    <w:lvl w:ilvl="1" w:tplc="D5CEF99E">
      <w:start w:val="1"/>
      <w:numFmt w:val="decimal"/>
      <w:lvlText w:val="%2."/>
      <w:lvlJc w:val="left"/>
      <w:pPr>
        <w:ind w:left="1440" w:hanging="360"/>
      </w:pPr>
    </w:lvl>
    <w:lvl w:ilvl="2" w:tplc="CF4E85F8">
      <w:start w:val="1"/>
      <w:numFmt w:val="lowerRoman"/>
      <w:lvlText w:val="%3."/>
      <w:lvlJc w:val="right"/>
      <w:pPr>
        <w:ind w:left="2160" w:hanging="180"/>
      </w:pPr>
    </w:lvl>
    <w:lvl w:ilvl="3" w:tplc="FAE6138E">
      <w:start w:val="1"/>
      <w:numFmt w:val="decimal"/>
      <w:lvlText w:val="%4."/>
      <w:lvlJc w:val="left"/>
      <w:pPr>
        <w:ind w:left="2880" w:hanging="360"/>
      </w:pPr>
    </w:lvl>
    <w:lvl w:ilvl="4" w:tplc="8124E402">
      <w:start w:val="1"/>
      <w:numFmt w:val="lowerLetter"/>
      <w:lvlText w:val="%5."/>
      <w:lvlJc w:val="left"/>
      <w:pPr>
        <w:ind w:left="3600" w:hanging="360"/>
      </w:pPr>
    </w:lvl>
    <w:lvl w:ilvl="5" w:tplc="E5AEF40C">
      <w:start w:val="1"/>
      <w:numFmt w:val="lowerRoman"/>
      <w:lvlText w:val="%6."/>
      <w:lvlJc w:val="right"/>
      <w:pPr>
        <w:ind w:left="4320" w:hanging="180"/>
      </w:pPr>
    </w:lvl>
    <w:lvl w:ilvl="6" w:tplc="1D64E026">
      <w:start w:val="1"/>
      <w:numFmt w:val="decimal"/>
      <w:lvlText w:val="%7."/>
      <w:lvlJc w:val="left"/>
      <w:pPr>
        <w:ind w:left="5040" w:hanging="360"/>
      </w:pPr>
    </w:lvl>
    <w:lvl w:ilvl="7" w:tplc="B7F0EE72">
      <w:start w:val="1"/>
      <w:numFmt w:val="lowerLetter"/>
      <w:lvlText w:val="%8."/>
      <w:lvlJc w:val="left"/>
      <w:pPr>
        <w:ind w:left="5760" w:hanging="360"/>
      </w:pPr>
    </w:lvl>
    <w:lvl w:ilvl="8" w:tplc="524ED0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45B3"/>
    <w:multiLevelType w:val="hybridMultilevel"/>
    <w:tmpl w:val="1E2CFEEC"/>
    <w:lvl w:ilvl="0" w:tplc="313C1ACC">
      <w:start w:val="1"/>
      <w:numFmt w:val="decimal"/>
      <w:lvlText w:val="%1."/>
      <w:lvlJc w:val="left"/>
      <w:pPr>
        <w:ind w:left="720" w:hanging="360"/>
      </w:pPr>
    </w:lvl>
    <w:lvl w:ilvl="1" w:tplc="82CC4000">
      <w:start w:val="1"/>
      <w:numFmt w:val="lowerLetter"/>
      <w:lvlText w:val="%2."/>
      <w:lvlJc w:val="left"/>
      <w:pPr>
        <w:ind w:left="1440" w:hanging="360"/>
      </w:pPr>
    </w:lvl>
    <w:lvl w:ilvl="2" w:tplc="CC6E1C9C">
      <w:start w:val="1"/>
      <w:numFmt w:val="lowerRoman"/>
      <w:lvlText w:val="%3."/>
      <w:lvlJc w:val="right"/>
      <w:pPr>
        <w:ind w:left="2160" w:hanging="180"/>
      </w:pPr>
    </w:lvl>
    <w:lvl w:ilvl="3" w:tplc="E7068520">
      <w:start w:val="1"/>
      <w:numFmt w:val="decimal"/>
      <w:lvlText w:val="%4."/>
      <w:lvlJc w:val="left"/>
      <w:pPr>
        <w:ind w:left="2880" w:hanging="360"/>
      </w:pPr>
    </w:lvl>
    <w:lvl w:ilvl="4" w:tplc="8F3A0D8A">
      <w:start w:val="1"/>
      <w:numFmt w:val="lowerLetter"/>
      <w:lvlText w:val="%5."/>
      <w:lvlJc w:val="left"/>
      <w:pPr>
        <w:ind w:left="3600" w:hanging="360"/>
      </w:pPr>
    </w:lvl>
    <w:lvl w:ilvl="5" w:tplc="CB3AF57C">
      <w:start w:val="1"/>
      <w:numFmt w:val="lowerRoman"/>
      <w:lvlText w:val="%6."/>
      <w:lvlJc w:val="right"/>
      <w:pPr>
        <w:ind w:left="4320" w:hanging="180"/>
      </w:pPr>
    </w:lvl>
    <w:lvl w:ilvl="6" w:tplc="5D76E0F0">
      <w:start w:val="1"/>
      <w:numFmt w:val="decimal"/>
      <w:lvlText w:val="%7."/>
      <w:lvlJc w:val="left"/>
      <w:pPr>
        <w:ind w:left="5040" w:hanging="360"/>
      </w:pPr>
    </w:lvl>
    <w:lvl w:ilvl="7" w:tplc="0FFC9540">
      <w:start w:val="1"/>
      <w:numFmt w:val="lowerLetter"/>
      <w:lvlText w:val="%8."/>
      <w:lvlJc w:val="left"/>
      <w:pPr>
        <w:ind w:left="5760" w:hanging="360"/>
      </w:pPr>
    </w:lvl>
    <w:lvl w:ilvl="8" w:tplc="59A814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185D"/>
    <w:multiLevelType w:val="hybridMultilevel"/>
    <w:tmpl w:val="DCBE1582"/>
    <w:lvl w:ilvl="0" w:tplc="A4E0B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96868487">
    <w:abstractNumId w:val="9"/>
  </w:num>
  <w:num w:numId="2" w16cid:durableId="1826820882">
    <w:abstractNumId w:val="8"/>
  </w:num>
  <w:num w:numId="3" w16cid:durableId="1765564035">
    <w:abstractNumId w:val="3"/>
  </w:num>
  <w:num w:numId="4" w16cid:durableId="2040549785">
    <w:abstractNumId w:val="2"/>
  </w:num>
  <w:num w:numId="5" w16cid:durableId="618998902">
    <w:abstractNumId w:val="1"/>
  </w:num>
  <w:num w:numId="6" w16cid:durableId="2146972248">
    <w:abstractNumId w:val="0"/>
  </w:num>
  <w:num w:numId="7" w16cid:durableId="45958413">
    <w:abstractNumId w:val="7"/>
  </w:num>
  <w:num w:numId="8" w16cid:durableId="1087313795">
    <w:abstractNumId w:val="6"/>
  </w:num>
  <w:num w:numId="9" w16cid:durableId="602499676">
    <w:abstractNumId w:val="5"/>
  </w:num>
  <w:num w:numId="10" w16cid:durableId="1378894872">
    <w:abstractNumId w:val="4"/>
  </w:num>
  <w:num w:numId="11" w16cid:durableId="1443457124">
    <w:abstractNumId w:val="12"/>
  </w:num>
  <w:num w:numId="12" w16cid:durableId="730618439">
    <w:abstractNumId w:val="17"/>
  </w:num>
  <w:num w:numId="13" w16cid:durableId="508985074">
    <w:abstractNumId w:val="16"/>
  </w:num>
  <w:num w:numId="14" w16cid:durableId="1326278465">
    <w:abstractNumId w:val="10"/>
  </w:num>
  <w:num w:numId="15" w16cid:durableId="2025201015">
    <w:abstractNumId w:val="11"/>
  </w:num>
  <w:num w:numId="16" w16cid:durableId="148910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8750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13267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0943"/>
    <w:rsid w:val="000571F1"/>
    <w:rsid w:val="00057D45"/>
    <w:rsid w:val="00065073"/>
    <w:rsid w:val="00070438"/>
    <w:rsid w:val="00076AA7"/>
    <w:rsid w:val="00076D3C"/>
    <w:rsid w:val="00077647"/>
    <w:rsid w:val="0008443A"/>
    <w:rsid w:val="00086434"/>
    <w:rsid w:val="00097F05"/>
    <w:rsid w:val="000C0A1E"/>
    <w:rsid w:val="000C1D7E"/>
    <w:rsid w:val="000C6DFE"/>
    <w:rsid w:val="000E3BFC"/>
    <w:rsid w:val="001157CF"/>
    <w:rsid w:val="00134929"/>
    <w:rsid w:val="001601F4"/>
    <w:rsid w:val="00163FDB"/>
    <w:rsid w:val="00173853"/>
    <w:rsid w:val="001A0B55"/>
    <w:rsid w:val="001A0BD2"/>
    <w:rsid w:val="001B0099"/>
    <w:rsid w:val="001D1791"/>
    <w:rsid w:val="001E1A69"/>
    <w:rsid w:val="00215AF9"/>
    <w:rsid w:val="00216D81"/>
    <w:rsid w:val="00231524"/>
    <w:rsid w:val="002507B4"/>
    <w:rsid w:val="00272868"/>
    <w:rsid w:val="00274A7A"/>
    <w:rsid w:val="002A1E31"/>
    <w:rsid w:val="002D457F"/>
    <w:rsid w:val="002D48BE"/>
    <w:rsid w:val="002E7995"/>
    <w:rsid w:val="002F4540"/>
    <w:rsid w:val="00311DC0"/>
    <w:rsid w:val="0032114C"/>
    <w:rsid w:val="00324FFB"/>
    <w:rsid w:val="003317B5"/>
    <w:rsid w:val="00335F9F"/>
    <w:rsid w:val="00346C00"/>
    <w:rsid w:val="00354A18"/>
    <w:rsid w:val="00376543"/>
    <w:rsid w:val="00380568"/>
    <w:rsid w:val="0039324B"/>
    <w:rsid w:val="003B4D0E"/>
    <w:rsid w:val="003B721F"/>
    <w:rsid w:val="003D27FD"/>
    <w:rsid w:val="003D7E4E"/>
    <w:rsid w:val="003E2D2A"/>
    <w:rsid w:val="003F4BA3"/>
    <w:rsid w:val="00415855"/>
    <w:rsid w:val="00445F85"/>
    <w:rsid w:val="004470EA"/>
    <w:rsid w:val="004F5805"/>
    <w:rsid w:val="00526CDD"/>
    <w:rsid w:val="00560724"/>
    <w:rsid w:val="005630AF"/>
    <w:rsid w:val="005921A8"/>
    <w:rsid w:val="00596E5A"/>
    <w:rsid w:val="005C32E8"/>
    <w:rsid w:val="005D102F"/>
    <w:rsid w:val="005D1495"/>
    <w:rsid w:val="005D3610"/>
    <w:rsid w:val="00644996"/>
    <w:rsid w:val="0064519F"/>
    <w:rsid w:val="00656547"/>
    <w:rsid w:val="00660360"/>
    <w:rsid w:val="006747BD"/>
    <w:rsid w:val="006758B0"/>
    <w:rsid w:val="006919BD"/>
    <w:rsid w:val="00696E12"/>
    <w:rsid w:val="006A2A26"/>
    <w:rsid w:val="006A6609"/>
    <w:rsid w:val="006D5170"/>
    <w:rsid w:val="006D6DE5"/>
    <w:rsid w:val="006D75B6"/>
    <w:rsid w:val="006E01FA"/>
    <w:rsid w:val="006E5990"/>
    <w:rsid w:val="006F645A"/>
    <w:rsid w:val="007212FF"/>
    <w:rsid w:val="00724CB1"/>
    <w:rsid w:val="00725EB7"/>
    <w:rsid w:val="007434E4"/>
    <w:rsid w:val="00775AD6"/>
    <w:rsid w:val="007A1CE0"/>
    <w:rsid w:val="007A379D"/>
    <w:rsid w:val="007B32EA"/>
    <w:rsid w:val="00805DF6"/>
    <w:rsid w:val="00821F16"/>
    <w:rsid w:val="00832596"/>
    <w:rsid w:val="008368C0"/>
    <w:rsid w:val="008430E2"/>
    <w:rsid w:val="0084396A"/>
    <w:rsid w:val="00854B7B"/>
    <w:rsid w:val="008A7A60"/>
    <w:rsid w:val="008C1729"/>
    <w:rsid w:val="008C41F2"/>
    <w:rsid w:val="008C75DD"/>
    <w:rsid w:val="008D1F89"/>
    <w:rsid w:val="008F027B"/>
    <w:rsid w:val="008F209D"/>
    <w:rsid w:val="008F7F85"/>
    <w:rsid w:val="00977D42"/>
    <w:rsid w:val="00996BF7"/>
    <w:rsid w:val="009B3D37"/>
    <w:rsid w:val="009C2224"/>
    <w:rsid w:val="009D132A"/>
    <w:rsid w:val="009D4C4D"/>
    <w:rsid w:val="009D6B91"/>
    <w:rsid w:val="00A36F46"/>
    <w:rsid w:val="00A4666C"/>
    <w:rsid w:val="00A52C29"/>
    <w:rsid w:val="00A5527B"/>
    <w:rsid w:val="00A81AFE"/>
    <w:rsid w:val="00AC112C"/>
    <w:rsid w:val="00AC5166"/>
    <w:rsid w:val="00AD719A"/>
    <w:rsid w:val="00B071B6"/>
    <w:rsid w:val="00B34823"/>
    <w:rsid w:val="00B4543C"/>
    <w:rsid w:val="00B4757B"/>
    <w:rsid w:val="00B61F8A"/>
    <w:rsid w:val="00B84C49"/>
    <w:rsid w:val="00BA6C17"/>
    <w:rsid w:val="00BC7CE4"/>
    <w:rsid w:val="00BF1229"/>
    <w:rsid w:val="00BF23EF"/>
    <w:rsid w:val="00C00201"/>
    <w:rsid w:val="00C4152C"/>
    <w:rsid w:val="00C5120C"/>
    <w:rsid w:val="00C60CA1"/>
    <w:rsid w:val="00C736D5"/>
    <w:rsid w:val="00C86E43"/>
    <w:rsid w:val="00CA7CCB"/>
    <w:rsid w:val="00D005B3"/>
    <w:rsid w:val="00D06D36"/>
    <w:rsid w:val="00D40690"/>
    <w:rsid w:val="00D41A59"/>
    <w:rsid w:val="00D8506F"/>
    <w:rsid w:val="00D95B4B"/>
    <w:rsid w:val="00DA52A1"/>
    <w:rsid w:val="00E01D3D"/>
    <w:rsid w:val="00E431E7"/>
    <w:rsid w:val="00E43FA5"/>
    <w:rsid w:val="00E601CC"/>
    <w:rsid w:val="00E94BB3"/>
    <w:rsid w:val="00EB3E5D"/>
    <w:rsid w:val="00EC6D68"/>
    <w:rsid w:val="00ED1673"/>
    <w:rsid w:val="00ED5742"/>
    <w:rsid w:val="00ED7972"/>
    <w:rsid w:val="00EE1887"/>
    <w:rsid w:val="00EE493C"/>
    <w:rsid w:val="00EF14D2"/>
    <w:rsid w:val="00F06F1B"/>
    <w:rsid w:val="00F66FCC"/>
    <w:rsid w:val="00F86809"/>
    <w:rsid w:val="00FD287F"/>
    <w:rsid w:val="00FD632A"/>
    <w:rsid w:val="0672AE50"/>
    <w:rsid w:val="0AE2F405"/>
    <w:rsid w:val="0B947A3E"/>
    <w:rsid w:val="0C3059F4"/>
    <w:rsid w:val="1083E3B4"/>
    <w:rsid w:val="137788F2"/>
    <w:rsid w:val="253A575C"/>
    <w:rsid w:val="29E34234"/>
    <w:rsid w:val="2FE3DDA6"/>
    <w:rsid w:val="32A269B1"/>
    <w:rsid w:val="33A99DB6"/>
    <w:rsid w:val="3A1CE413"/>
    <w:rsid w:val="3A3662C8"/>
    <w:rsid w:val="40A69A66"/>
    <w:rsid w:val="45B9C2DF"/>
    <w:rsid w:val="45C602B4"/>
    <w:rsid w:val="4B300DB1"/>
    <w:rsid w:val="516472DD"/>
    <w:rsid w:val="519662AC"/>
    <w:rsid w:val="6966D3EF"/>
    <w:rsid w:val="6B2AA90E"/>
    <w:rsid w:val="6B44F5F1"/>
    <w:rsid w:val="6DC9D3B3"/>
    <w:rsid w:val="6E79CEA7"/>
    <w:rsid w:val="7027A3C1"/>
    <w:rsid w:val="7DE7E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930EE6-8B22-4417-8794-D5CC523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2FF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B3D37"/>
    <w:pPr>
      <w:spacing w:before="560" w:after="560"/>
      <w:ind w:left="-1701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semiHidden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170"/>
    <w:pPr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17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6D5170"/>
    <w:pPr>
      <w:autoSpaceDE w:val="0"/>
      <w:autoSpaceDN w:val="0"/>
      <w:adjustRightInd w:val="0"/>
    </w:pPr>
    <w:rPr>
      <w:rFonts w:ascii="Roboto" w:eastAsia="Calibri" w:hAnsi="Roboto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9D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BA6C17"/>
    <w:pPr>
      <w:spacing w:after="280" w:line="280" w:lineRule="exact"/>
      <w:ind w:left="720"/>
      <w:contextualSpacing/>
      <w:jc w:val="both"/>
    </w:pPr>
    <w:rPr>
      <w:rFonts w:asciiTheme="minorHAnsi" w:hAnsiTheme="minorHAnsi"/>
      <w:color w:val="000000" w:themeColor="background1"/>
      <w:spacing w:val="4"/>
      <w:sz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BA6C17"/>
    <w:rPr>
      <w:rFonts w:asciiTheme="minorHAnsi" w:hAnsiTheme="minorHAnsi"/>
      <w:color w:val="000000" w:themeColor="background1"/>
      <w:spacing w:val="4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C17"/>
    <w:pPr>
      <w:jc w:val="both"/>
    </w:pPr>
    <w:rPr>
      <w:rFonts w:asciiTheme="minorHAnsi" w:hAnsiTheme="minorHAnsi"/>
      <w:color w:val="000000" w:themeColor="background1"/>
      <w:spacing w:val="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C17"/>
    <w:rPr>
      <w:rFonts w:asciiTheme="minorHAnsi" w:hAnsiTheme="minorHAnsi"/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C1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E43"/>
    <w:pPr>
      <w:spacing w:after="0" w:line="240" w:lineRule="auto"/>
    </w:pPr>
    <w:rPr>
      <w:rFonts w:ascii="Calibri Light" w:eastAsiaTheme="minorHAnsi" w:hAnsi="Calibri Light" w:cstheme="minorBidi"/>
      <w:b/>
      <w:bCs/>
      <w:sz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E4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zmianka">
    <w:name w:val="Mention"/>
    <w:basedOn w:val="Domylnaczcionkaakapitu"/>
    <w:uiPriority w:val="99"/>
    <w:unhideWhenUsed/>
    <w:rsid w:val="00E43F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161C0-1629-4E62-8FFA-38970A267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E0D57-58DB-4A10-81FB-DDD264456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BDA9CE-67B5-4625-8349-F17487B1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43</cp:revision>
  <cp:lastPrinted>2020-02-07T10:43:00Z</cp:lastPrinted>
  <dcterms:created xsi:type="dcterms:W3CDTF">2023-12-01T04:06:00Z</dcterms:created>
  <dcterms:modified xsi:type="dcterms:W3CDTF">2024-02-16T11:59:00Z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