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int="default" w:ascii="Arial" w:hAnsi="Arial" w:cs="Arial"/>
          <w:b/>
          <w:sz w:val="20"/>
          <w:szCs w:val="20"/>
          <w:u w:val="single"/>
        </w:rPr>
      </w:pPr>
      <w:r>
        <w:rPr>
          <w:rFonts w:hint="default" w:ascii="Arial" w:hAnsi="Arial" w:cs="Arial"/>
          <w:b/>
          <w:sz w:val="20"/>
          <w:szCs w:val="20"/>
        </w:rPr>
        <w:t>WTI.271.2.1</w:t>
      </w:r>
      <w:r>
        <w:rPr>
          <w:rFonts w:hint="default" w:ascii="Arial" w:hAnsi="Arial" w:cs="Arial"/>
          <w:b/>
          <w:sz w:val="20"/>
          <w:szCs w:val="20"/>
          <w:lang w:val="pl-PL"/>
        </w:rPr>
        <w:t>3</w:t>
      </w:r>
      <w:r>
        <w:rPr>
          <w:rFonts w:hint="default" w:ascii="Arial" w:hAnsi="Arial" w:cs="Arial"/>
          <w:b/>
          <w:sz w:val="20"/>
          <w:szCs w:val="20"/>
        </w:rPr>
        <w:t>.202</w:t>
      </w:r>
      <w:r>
        <w:rPr>
          <w:rFonts w:hint="default" w:ascii="Arial" w:hAnsi="Arial" w:cs="Arial"/>
          <w:b/>
          <w:sz w:val="20"/>
          <w:szCs w:val="20"/>
          <w:lang w:val="pl-PL"/>
        </w:rPr>
        <w:t>4</w:t>
      </w:r>
      <w:r>
        <w:rPr>
          <w:rFonts w:hint="default" w:ascii="Arial" w:hAnsi="Arial" w:cs="Arial"/>
          <w:b/>
          <w:sz w:val="20"/>
          <w:szCs w:val="20"/>
        </w:rPr>
        <w:t>.ZP</w:t>
      </w:r>
    </w:p>
    <w:p>
      <w:pPr>
        <w:wordWrap w:val="0"/>
        <w:spacing w:line="288" w:lineRule="auto"/>
        <w:jc w:val="right"/>
        <w:rPr>
          <w:rFonts w:hint="default" w:ascii="Arial" w:hAnsi="Arial" w:cs="Arial"/>
          <w:sz w:val="20"/>
          <w:szCs w:val="20"/>
        </w:rPr>
      </w:pPr>
      <w:r>
        <w:rPr>
          <w:rFonts w:hint="default" w:ascii="Arial" w:hAnsi="Arial" w:cs="Arial"/>
          <w:sz w:val="20"/>
          <w:szCs w:val="20"/>
        </w:rPr>
        <w:t xml:space="preserve">Załącznik nr </w:t>
      </w:r>
      <w:r>
        <w:rPr>
          <w:rFonts w:hint="default" w:ascii="Arial" w:hAnsi="Arial" w:cs="Arial"/>
          <w:sz w:val="20"/>
          <w:szCs w:val="20"/>
          <w:lang w:val="pl-PL"/>
        </w:rPr>
        <w:t>3</w:t>
      </w:r>
      <w:r>
        <w:rPr>
          <w:rFonts w:hint="default" w:ascii="Arial" w:hAnsi="Arial" w:cs="Arial"/>
          <w:sz w:val="20"/>
          <w:szCs w:val="20"/>
        </w:rPr>
        <w:t xml:space="preserve"> do SWZ</w:t>
      </w:r>
    </w:p>
    <w:p>
      <w:pPr>
        <w:pStyle w:val="4"/>
        <w:spacing w:after="25"/>
        <w:rPr>
          <w:rFonts w:hint="default" w:ascii="Arial" w:hAnsi="Arial" w:cs="Arial"/>
          <w:sz w:val="20"/>
          <w:szCs w:val="20"/>
        </w:rPr>
      </w:pPr>
    </w:p>
    <w:p>
      <w:pPr>
        <w:widowControl w:val="0"/>
        <w:suppressAutoHyphens/>
        <w:overflowPunct w:val="0"/>
        <w:autoSpaceDE w:val="0"/>
        <w:jc w:val="center"/>
        <w:rPr>
          <w:rFonts w:hint="default" w:ascii="Arial" w:hAnsi="Arial" w:cs="Arial"/>
          <w:b/>
          <w:bCs/>
          <w:sz w:val="32"/>
          <w:szCs w:val="32"/>
          <w:lang w:eastAsia="ar-SA"/>
        </w:rPr>
      </w:pPr>
      <w:r>
        <w:rPr>
          <w:rFonts w:hint="default" w:ascii="Arial" w:hAnsi="Arial" w:cs="Arial"/>
          <w:b/>
          <w:bCs/>
          <w:sz w:val="32"/>
          <w:szCs w:val="32"/>
          <w:lang w:val="pl-PL" w:eastAsia="ar-SA"/>
        </w:rPr>
        <w:t>Szczegółowy o</w:t>
      </w:r>
      <w:r>
        <w:rPr>
          <w:rFonts w:hint="default" w:ascii="Arial" w:hAnsi="Arial" w:cs="Arial"/>
          <w:b/>
          <w:bCs/>
          <w:sz w:val="32"/>
          <w:szCs w:val="32"/>
          <w:lang w:eastAsia="ar-SA"/>
        </w:rPr>
        <w:t>pis przedmiotu zamówienia</w:t>
      </w:r>
      <w:r>
        <w:rPr>
          <w:rFonts w:hint="default" w:ascii="Arial" w:hAnsi="Arial" w:cs="Arial"/>
          <w:b/>
          <w:bCs/>
          <w:sz w:val="32"/>
          <w:szCs w:val="32"/>
          <w:lang w:eastAsia="ar-SA"/>
        </w:rPr>
        <w:br w:type="textWrapping"/>
      </w:r>
      <w:r>
        <w:rPr>
          <w:rFonts w:hint="default" w:ascii="Arial" w:hAnsi="Arial" w:cs="Arial"/>
          <w:b w:val="0"/>
          <w:bCs w:val="0"/>
          <w:sz w:val="32"/>
          <w:szCs w:val="32"/>
          <w:lang w:val="pl-PL" w:eastAsia="ar-SA"/>
        </w:rPr>
        <w:t xml:space="preserve">w postępowaniu pn.: </w:t>
      </w:r>
      <w:r>
        <w:rPr>
          <w:rFonts w:hint="default" w:ascii="Arial" w:hAnsi="Arial" w:cs="Arial"/>
          <w:b w:val="0"/>
          <w:bCs w:val="0"/>
          <w:sz w:val="32"/>
          <w:szCs w:val="32"/>
          <w:lang w:eastAsia="ar-SA"/>
        </w:rPr>
        <w:t xml:space="preserve"> </w:t>
      </w:r>
    </w:p>
    <w:p>
      <w:pPr>
        <w:widowControl w:val="0"/>
        <w:suppressAutoHyphens/>
        <w:overflowPunct w:val="0"/>
        <w:autoSpaceDE w:val="0"/>
        <w:jc w:val="center"/>
        <w:rPr>
          <w:b/>
          <w:bCs/>
          <w:sz w:val="32"/>
          <w:szCs w:val="32"/>
          <w:lang w:eastAsia="ar-SA"/>
        </w:rPr>
      </w:pPr>
      <w:r>
        <w:rPr>
          <w:rFonts w:hint="default" w:ascii="Arial" w:hAnsi="Arial"/>
          <w:b/>
          <w:bCs/>
          <w:sz w:val="32"/>
          <w:szCs w:val="32"/>
          <w:lang w:val="pl-PL" w:eastAsia="ar-SA"/>
        </w:rPr>
        <w:t>„</w:t>
      </w:r>
      <w:r>
        <w:rPr>
          <w:rFonts w:hint="default" w:ascii="Arial" w:hAnsi="Arial"/>
          <w:b/>
          <w:bCs/>
          <w:i/>
          <w:iCs/>
          <w:sz w:val="32"/>
          <w:szCs w:val="32"/>
          <w:lang w:val="pl-PL" w:eastAsia="ar-SA"/>
        </w:rPr>
        <w:t>Dostawa 9-osobowego samochodu przystosowanego do przewozu osób</w:t>
      </w:r>
      <w:r>
        <w:rPr>
          <w:rFonts w:hint="default" w:ascii="Arial" w:hAnsi="Arial"/>
          <w:b/>
          <w:bCs/>
          <w:sz w:val="32"/>
          <w:szCs w:val="32"/>
          <w:lang w:val="pl-PL" w:eastAsia="ar-SA"/>
        </w:rPr>
        <w:t>”</w:t>
      </w:r>
    </w:p>
    <w:p>
      <w:pPr>
        <w:widowControl w:val="0"/>
        <w:suppressAutoHyphens/>
        <w:overflowPunct w:val="0"/>
        <w:autoSpaceDE w:val="0"/>
        <w:jc w:val="center"/>
        <w:rPr>
          <w:b/>
          <w:bCs/>
          <w:sz w:val="32"/>
          <w:szCs w:val="32"/>
          <w:lang w:eastAsia="ar-SA"/>
        </w:rPr>
      </w:pPr>
    </w:p>
    <w:p>
      <w:pPr>
        <w:jc w:val="right"/>
        <w:rPr>
          <w:b/>
          <w:bCs/>
          <w:sz w:val="32"/>
          <w:szCs w:val="32"/>
        </w:rPr>
      </w:pPr>
      <w:bookmarkStart w:id="1" w:name="_GoBack"/>
      <w:bookmarkEnd w:id="1"/>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spacing w:line="276" w:lineRule="auto"/>
        <w:jc w:val="center"/>
        <w:rPr>
          <w:b/>
          <w:bCs/>
          <w:sz w:val="36"/>
          <w:szCs w:val="36"/>
        </w:rPr>
      </w:pPr>
    </w:p>
    <w:p>
      <w:pPr>
        <w:spacing w:line="276" w:lineRule="auto"/>
        <w:jc w:val="center"/>
        <w:rPr>
          <w:b/>
          <w:bCs/>
          <w:sz w:val="36"/>
          <w:szCs w:val="36"/>
        </w:rPr>
      </w:pPr>
    </w:p>
    <w:p>
      <w:pPr>
        <w:spacing w:line="276" w:lineRule="auto"/>
        <w:jc w:val="center"/>
        <w:rPr>
          <w:b/>
          <w:bCs/>
          <w:sz w:val="36"/>
          <w:szCs w:val="36"/>
        </w:rPr>
      </w:pPr>
    </w:p>
    <w:p>
      <w:pPr>
        <w:spacing w:line="276" w:lineRule="auto"/>
        <w:jc w:val="center"/>
        <w:rPr>
          <w:b/>
          <w:bCs/>
          <w:sz w:val="36"/>
          <w:szCs w:val="36"/>
        </w:rPr>
      </w:pPr>
    </w:p>
    <w:p>
      <w:pPr>
        <w:spacing w:line="276" w:lineRule="auto"/>
        <w:jc w:val="center"/>
        <w:rPr>
          <w:b/>
          <w:bCs/>
          <w:sz w:val="36"/>
          <w:szCs w:val="36"/>
        </w:rPr>
      </w:pPr>
    </w:p>
    <w:p>
      <w:pPr>
        <w:autoSpaceDN w:val="0"/>
        <w:adjustRightInd w:val="0"/>
        <w:spacing w:line="276" w:lineRule="auto"/>
        <w:jc w:val="center"/>
        <w:rPr>
          <w:b/>
          <w:bCs/>
        </w:rPr>
      </w:pPr>
      <w:r>
        <w:rPr>
          <w:b/>
          <w:bCs/>
        </w:rPr>
        <w:t xml:space="preserve">Przedmiotem zamówienia jest dostawa 1 szt. fabrycznie nowego  samochodu </w:t>
      </w:r>
      <w:r>
        <w:rPr>
          <w:rFonts w:hint="default"/>
          <w:b/>
          <w:bCs/>
          <w:lang w:val="pl-PL"/>
        </w:rPr>
        <w:t xml:space="preserve">dziewięcioosobowego </w:t>
      </w:r>
      <w:r>
        <w:rPr>
          <w:b/>
          <w:bCs/>
        </w:rPr>
        <w:t>, spełniającego poniższe wymagania:</w:t>
      </w:r>
    </w:p>
    <w:tbl>
      <w:tblPr>
        <w:tblStyle w:val="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71" w:type="dxa"/>
            <w:noWrap w:val="0"/>
            <w:vAlign w:val="top"/>
          </w:tcPr>
          <w:p>
            <w:pPr>
              <w:jc w:val="center"/>
              <w:rPr>
                <w:rFonts w:ascii="Arial" w:hAnsi="Arial" w:cs="Arial"/>
                <w:b/>
                <w:bCs/>
                <w:sz w:val="22"/>
                <w:szCs w:val="22"/>
                <w:lang w:eastAsia="en-US"/>
              </w:rPr>
            </w:pPr>
            <w:r>
              <w:rPr>
                <w:rFonts w:ascii="Arial" w:hAnsi="Arial" w:cs="Arial"/>
                <w:b/>
                <w:bCs/>
                <w:sz w:val="22"/>
                <w:szCs w:val="22"/>
              </w:rPr>
              <w:t>Lp.</w:t>
            </w:r>
          </w:p>
        </w:tc>
        <w:tc>
          <w:tcPr>
            <w:tcW w:w="8076" w:type="dxa"/>
            <w:noWrap w:val="0"/>
            <w:vAlign w:val="top"/>
          </w:tcPr>
          <w:p>
            <w:pPr>
              <w:jc w:val="center"/>
              <w:rPr>
                <w:rFonts w:ascii="Arial" w:hAnsi="Arial" w:cs="Arial"/>
                <w:b/>
                <w:bCs/>
                <w:sz w:val="22"/>
                <w:szCs w:val="22"/>
                <w:lang w:eastAsia="en-US"/>
              </w:rPr>
            </w:pPr>
            <w:r>
              <w:rPr>
                <w:rFonts w:hint="default" w:ascii="Arial" w:hAnsi="Arial" w:cs="Arial"/>
                <w:b/>
                <w:bCs/>
                <w:sz w:val="22"/>
                <w:szCs w:val="22"/>
                <w:lang w:val="pl-PL"/>
              </w:rPr>
              <w:t>Minimalne w</w:t>
            </w:r>
            <w:r>
              <w:rPr>
                <w:rFonts w:ascii="Arial" w:hAnsi="Arial" w:cs="Arial"/>
                <w:b/>
                <w:bCs/>
                <w:sz w:val="22"/>
                <w:szCs w:val="22"/>
              </w:rPr>
              <w:t>ymagania Zamawiającego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ascii="Arial" w:hAnsi="Arial" w:cs="Arial"/>
                <w:sz w:val="22"/>
                <w:szCs w:val="22"/>
              </w:rPr>
              <w:t>1.</w:t>
            </w:r>
          </w:p>
        </w:tc>
        <w:tc>
          <w:tcPr>
            <w:tcW w:w="8076" w:type="dxa"/>
            <w:noWrap w:val="0"/>
            <w:vAlign w:val="top"/>
          </w:tcPr>
          <w:p>
            <w:pPr>
              <w:autoSpaceDN w:val="0"/>
              <w:adjustRightInd w:val="0"/>
              <w:rPr>
                <w:rFonts w:ascii="Arial" w:hAnsi="Arial" w:cs="Arial"/>
                <w:sz w:val="22"/>
                <w:szCs w:val="22"/>
                <w:lang w:eastAsia="en-US"/>
              </w:rPr>
            </w:pPr>
            <w:r>
              <w:rPr>
                <w:rFonts w:ascii="Arial" w:hAnsi="Arial" w:cs="Arial"/>
                <w:sz w:val="22"/>
                <w:szCs w:val="22"/>
              </w:rPr>
              <w:t xml:space="preserve">Samochód fabrycznie nowy (rok produkcji </w:t>
            </w:r>
            <w:r>
              <w:rPr>
                <w:rFonts w:hint="default" w:ascii="Arial" w:hAnsi="Arial" w:cs="Arial"/>
                <w:sz w:val="22"/>
                <w:szCs w:val="22"/>
                <w:lang w:val="pl-PL"/>
              </w:rPr>
              <w:t>2023-</w:t>
            </w:r>
            <w:r>
              <w:rPr>
                <w:rFonts w:ascii="Arial" w:hAnsi="Arial" w:cs="Arial"/>
                <w:sz w:val="22"/>
                <w:szCs w:val="22"/>
              </w:rPr>
              <w:t>2024 r.), przystosowany do przewozu 9 osób wraz z kierowcą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ascii="Arial" w:hAnsi="Arial" w:cs="Arial"/>
                <w:sz w:val="22"/>
                <w:szCs w:val="22"/>
              </w:rPr>
              <w:t>2.</w:t>
            </w:r>
          </w:p>
        </w:tc>
        <w:tc>
          <w:tcPr>
            <w:tcW w:w="8076" w:type="dxa"/>
            <w:noWrap w:val="0"/>
            <w:vAlign w:val="top"/>
          </w:tcPr>
          <w:p>
            <w:pPr>
              <w:autoSpaceDN w:val="0"/>
              <w:adjustRightInd w:val="0"/>
              <w:rPr>
                <w:rFonts w:hint="default" w:ascii="Arial" w:hAnsi="Arial" w:cs="Arial"/>
                <w:sz w:val="22"/>
                <w:szCs w:val="22"/>
                <w:lang w:val="pl-PL" w:eastAsia="en-US"/>
              </w:rPr>
            </w:pPr>
            <w:r>
              <w:rPr>
                <w:rFonts w:ascii="Arial" w:hAnsi="Arial" w:cs="Arial"/>
                <w:sz w:val="22"/>
                <w:szCs w:val="22"/>
              </w:rPr>
              <w:t>Spełniający wymagania prawa o ruchu drogowym (ważna homologacja na samochód bazowy osobowy</w:t>
            </w:r>
            <w:r>
              <w:rPr>
                <w:rFonts w:hint="default" w:ascii="Arial" w:hAnsi="Arial" w:cs="Arial"/>
                <w:sz w:val="22"/>
                <w:szCs w:val="22"/>
                <w:lang w:val="pl-P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hint="default" w:ascii="Arial" w:hAnsi="Arial" w:cs="Arial"/>
                <w:sz w:val="22"/>
                <w:szCs w:val="22"/>
                <w:lang w:val="pl-PL"/>
              </w:rPr>
              <w:t>3</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lang w:eastAsia="en-US"/>
              </w:rPr>
            </w:pPr>
            <w:r>
              <w:rPr>
                <w:rFonts w:ascii="Arial" w:hAnsi="Arial" w:cs="Arial"/>
                <w:sz w:val="22"/>
                <w:szCs w:val="22"/>
              </w:rPr>
              <w:t>Wymiary pojazdu:</w:t>
            </w:r>
          </w:p>
          <w:p>
            <w:pPr>
              <w:numPr>
                <w:ilvl w:val="0"/>
                <w:numId w:val="1"/>
              </w:numPr>
              <w:autoSpaceDN w:val="0"/>
              <w:adjustRightInd w:val="0"/>
              <w:rPr>
                <w:rFonts w:ascii="Arial" w:hAnsi="Arial" w:cs="Arial"/>
                <w:sz w:val="22"/>
                <w:szCs w:val="22"/>
              </w:rPr>
            </w:pPr>
            <w:r>
              <w:rPr>
                <w:rFonts w:ascii="Arial" w:hAnsi="Arial" w:cs="Arial"/>
                <w:sz w:val="22"/>
                <w:szCs w:val="22"/>
              </w:rPr>
              <w:t>długość całkowita, co najmn</w:t>
            </w:r>
            <w:r>
              <w:rPr>
                <w:rFonts w:ascii="Arial" w:hAnsi="Arial" w:cs="Arial"/>
                <w:sz w:val="22"/>
                <w:szCs w:val="22"/>
                <w:highlight w:val="none"/>
              </w:rPr>
              <w:t xml:space="preserve">iej </w:t>
            </w:r>
            <w:r>
              <w:rPr>
                <w:rFonts w:hint="default" w:ascii="Arial" w:hAnsi="Arial" w:cs="Arial"/>
                <w:sz w:val="22"/>
                <w:szCs w:val="22"/>
                <w:highlight w:val="none"/>
                <w:lang w:val="pl-PL"/>
              </w:rPr>
              <w:t>5900</w:t>
            </w:r>
            <w:r>
              <w:rPr>
                <w:rFonts w:ascii="Arial" w:hAnsi="Arial" w:cs="Arial"/>
                <w:sz w:val="22"/>
                <w:szCs w:val="22"/>
                <w:highlight w:val="none"/>
              </w:rPr>
              <w:t xml:space="preserve"> mm,</w:t>
            </w:r>
          </w:p>
          <w:p>
            <w:pPr>
              <w:numPr>
                <w:ilvl w:val="0"/>
                <w:numId w:val="1"/>
              </w:numPr>
              <w:autoSpaceDN w:val="0"/>
              <w:adjustRightInd w:val="0"/>
              <w:rPr>
                <w:rFonts w:ascii="Arial" w:hAnsi="Arial" w:cs="Arial"/>
                <w:sz w:val="22"/>
                <w:szCs w:val="22"/>
              </w:rPr>
            </w:pPr>
            <w:r>
              <w:rPr>
                <w:rFonts w:ascii="Arial" w:hAnsi="Arial" w:cs="Arial"/>
                <w:sz w:val="22"/>
                <w:szCs w:val="22"/>
                <w:shd w:val="clear" w:color="auto" w:fill="FFFFFF"/>
              </w:rPr>
              <w:t>wysokość</w:t>
            </w:r>
            <w:r>
              <w:rPr>
                <w:rFonts w:ascii="Arial" w:hAnsi="Arial" w:cs="Arial"/>
                <w:sz w:val="22"/>
                <w:szCs w:val="22"/>
              </w:rPr>
              <w:t xml:space="preserve"> całkowita  max</w:t>
            </w:r>
            <w:r>
              <w:rPr>
                <w:rFonts w:ascii="Arial" w:hAnsi="Arial" w:cs="Arial"/>
                <w:sz w:val="22"/>
                <w:szCs w:val="22"/>
                <w:highlight w:val="none"/>
              </w:rPr>
              <w:t xml:space="preserve"> 2600</w:t>
            </w:r>
            <w:r>
              <w:rPr>
                <w:rFonts w:hint="default" w:ascii="Arial" w:hAnsi="Arial" w:cs="Arial"/>
                <w:sz w:val="22"/>
                <w:szCs w:val="22"/>
                <w:highlight w:val="none"/>
                <w:lang w:val="pl-PL"/>
              </w:rPr>
              <w:t xml:space="preserve"> mm</w:t>
            </w:r>
          </w:p>
          <w:p>
            <w:pPr>
              <w:numPr>
                <w:ilvl w:val="0"/>
                <w:numId w:val="1"/>
              </w:numPr>
              <w:autoSpaceDN w:val="0"/>
              <w:adjustRightInd w:val="0"/>
              <w:rPr>
                <w:rFonts w:ascii="Arial" w:hAnsi="Arial" w:cs="Arial"/>
                <w:sz w:val="22"/>
                <w:szCs w:val="22"/>
                <w:lang w:eastAsia="en-US"/>
              </w:rPr>
            </w:pPr>
            <w:r>
              <w:rPr>
                <w:rFonts w:ascii="Arial" w:hAnsi="Arial" w:cs="Arial"/>
                <w:sz w:val="22"/>
                <w:szCs w:val="22"/>
              </w:rPr>
              <w:t>dopuszczalna masa całkowita samochodu nie może przekroczyć 3500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hint="default" w:ascii="Arial" w:hAnsi="Arial" w:cs="Arial"/>
                <w:sz w:val="22"/>
                <w:szCs w:val="22"/>
                <w:lang w:val="pl-PL"/>
              </w:rPr>
              <w:t>4</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highlight w:val="none"/>
                <w:lang w:eastAsia="en-US"/>
              </w:rPr>
            </w:pPr>
            <w:r>
              <w:rPr>
                <w:rFonts w:ascii="Arial" w:hAnsi="Arial" w:cs="Arial"/>
                <w:sz w:val="22"/>
                <w:szCs w:val="22"/>
              </w:rPr>
              <w:t>Ilość drzwi – 2 na wysokości pierwszego rzędu siedzeń (od strony kierowcy i pasażera), na wysokości drugiego rzędu siedzeń – drzwi przesuwne z prawej strony, drzw</w:t>
            </w:r>
            <w:r>
              <w:rPr>
                <w:rFonts w:ascii="Arial" w:hAnsi="Arial" w:cs="Arial"/>
                <w:sz w:val="22"/>
                <w:szCs w:val="22"/>
                <w:highlight w:val="none"/>
              </w:rPr>
              <w:t>i tylne dwuskrzydłowe,</w:t>
            </w:r>
          </w:p>
          <w:p>
            <w:pPr>
              <w:autoSpaceDN w:val="0"/>
              <w:adjustRightInd w:val="0"/>
              <w:rPr>
                <w:rFonts w:ascii="Arial" w:hAnsi="Arial" w:cs="Arial"/>
                <w:sz w:val="22"/>
                <w:szCs w:val="22"/>
                <w:lang w:eastAsia="en-US"/>
              </w:rPr>
            </w:pPr>
            <w:r>
              <w:rPr>
                <w:rFonts w:ascii="Arial" w:hAnsi="Arial" w:cs="Arial"/>
                <w:sz w:val="22"/>
                <w:szCs w:val="22"/>
                <w:highlight w:val="none"/>
              </w:rPr>
              <w:t>Ilość miejsc nie mniej niż 9</w:t>
            </w:r>
            <w:r>
              <w:rPr>
                <w:rFonts w:hint="default" w:ascii="Arial" w:hAnsi="Arial" w:cs="Arial"/>
                <w:sz w:val="22"/>
                <w:szCs w:val="22"/>
                <w:highlight w:val="none"/>
                <w:lang w:val="pl-PL"/>
              </w:rPr>
              <w:t xml:space="preserve"> (</w:t>
            </w:r>
            <w:r>
              <w:rPr>
                <w:rFonts w:ascii="Arial" w:hAnsi="Arial" w:cs="Arial"/>
                <w:sz w:val="22"/>
                <w:szCs w:val="22"/>
                <w:highlight w:val="none"/>
              </w:rPr>
              <w:t>3 w pierwszym rzędzie,  3  w drugim rzędzie, 3 w trzecim rzędzie</w:t>
            </w:r>
            <w:r>
              <w:rPr>
                <w:rFonts w:hint="default" w:ascii="Arial" w:hAnsi="Arial" w:cs="Arial"/>
                <w:sz w:val="22"/>
                <w:szCs w:val="22"/>
                <w:highlight w:val="none"/>
                <w:lang w:val="pl-PL"/>
              </w:rPr>
              <w:t>)</w:t>
            </w:r>
            <w:r>
              <w:rPr>
                <w:rFonts w:ascii="Arial" w:hAnsi="Arial" w:cs="Arial"/>
                <w:sz w:val="22"/>
                <w:szCs w:val="22"/>
                <w:highlight w:val="none"/>
              </w:rPr>
              <w:t>,</w:t>
            </w:r>
            <w:r>
              <w:rPr>
                <w:rFonts w:ascii="Arial" w:hAnsi="Arial" w:cs="Arial"/>
                <w:sz w:val="22"/>
                <w:szCs w:val="22"/>
              </w:rPr>
              <w:t xml:space="preserve"> wszystkie siedzenia wyposażone w pasy bezpieczeństwa, zagłówki, fotel kierowcy z regulacją wysokości, możliwość szybkiego i łatwego montażu i demontażu siedzeń w przestrzeni pasażerskiej, podłoga wyłożona wykładziną odporną na uszkodzenia właściwą dla użytkowania tego typu pojazdów, przestrzeń pasażerska całkowicie przeszklon</w:t>
            </w:r>
            <w:r>
              <w:rPr>
                <w:rFonts w:hint="default" w:ascii="Arial" w:hAnsi="Arial" w:cs="Arial"/>
                <w:sz w:val="22"/>
                <w:szCs w:val="22"/>
                <w:lang w:val="pl-PL"/>
              </w:rPr>
              <w:t>a</w:t>
            </w:r>
            <w:r>
              <w:rPr>
                <w:rFonts w:ascii="Arial" w:hAnsi="Arial" w:cs="Arial"/>
                <w:sz w:val="22"/>
                <w:szCs w:val="22"/>
              </w:rPr>
              <w:t>,(szyby przyciemnione)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hint="default" w:ascii="Arial" w:hAnsi="Arial" w:cs="Arial"/>
                <w:sz w:val="22"/>
                <w:szCs w:val="22"/>
                <w:lang w:val="pl-PL"/>
              </w:rPr>
              <w:t>5</w:t>
            </w:r>
            <w:r>
              <w:rPr>
                <w:rFonts w:ascii="Arial" w:hAnsi="Arial" w:cs="Arial"/>
                <w:sz w:val="22"/>
                <w:szCs w:val="22"/>
              </w:rPr>
              <w:t>.</w:t>
            </w:r>
          </w:p>
        </w:tc>
        <w:tc>
          <w:tcPr>
            <w:tcW w:w="8076" w:type="dxa"/>
            <w:noWrap w:val="0"/>
            <w:vAlign w:val="top"/>
          </w:tcPr>
          <w:p>
            <w:pPr>
              <w:autoSpaceDE w:val="0"/>
              <w:autoSpaceDN w:val="0"/>
              <w:adjustRightInd w:val="0"/>
              <w:rPr>
                <w:rFonts w:ascii="Arial" w:hAnsi="Arial" w:cs="Arial"/>
                <w:color w:val="000000"/>
                <w:sz w:val="22"/>
                <w:szCs w:val="22"/>
                <w:lang w:eastAsia="en-US"/>
              </w:rPr>
            </w:pPr>
            <w:r>
              <w:rPr>
                <w:rFonts w:ascii="Arial" w:hAnsi="Arial" w:cs="Arial"/>
                <w:color w:val="000000"/>
                <w:sz w:val="22"/>
                <w:szCs w:val="22"/>
              </w:rPr>
              <w:t>Napęd - silnik wysokoprężny o mocy łącznej, co najmniej 95 kW/129 KM, spełniający normę czystości spalin min. Euro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hint="default" w:ascii="Arial" w:hAnsi="Arial" w:cs="Arial"/>
                <w:sz w:val="22"/>
                <w:szCs w:val="22"/>
                <w:lang w:val="pl-PL"/>
              </w:rPr>
              <w:t>6</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lang w:eastAsia="en-US"/>
              </w:rPr>
            </w:pPr>
            <w:r>
              <w:rPr>
                <w:rFonts w:ascii="Arial" w:hAnsi="Arial" w:cs="Arial"/>
                <w:sz w:val="22"/>
                <w:szCs w:val="22"/>
              </w:rPr>
              <w:t xml:space="preserve">Układ przeniesienia napędu 2x4. Skrzynia biegów – manualna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hint="default" w:ascii="Arial" w:hAnsi="Arial" w:cs="Arial"/>
                <w:sz w:val="22"/>
                <w:szCs w:val="22"/>
                <w:lang w:val="pl-PL"/>
              </w:rPr>
              <w:t>7</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lang w:eastAsia="en-US"/>
              </w:rPr>
            </w:pPr>
            <w:r>
              <w:rPr>
                <w:rFonts w:ascii="Arial" w:hAnsi="Arial" w:cs="Arial"/>
                <w:sz w:val="22"/>
                <w:szCs w:val="22"/>
              </w:rPr>
              <w:t>Układ kierowniczy – ze wspomaganiem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8</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Moc alternatora i pojemność akumulatora musi zapewnić pełne pokrycie zapotrzebowania na energię elektryczną przy maksymalnym obciążeniu wszystkich urządzeń wyposażenia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9</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System stabilizacji toru jazdy i kontroli trakcji,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ascii="Arial" w:hAnsi="Arial" w:cs="Arial"/>
                <w:sz w:val="22"/>
                <w:szCs w:val="22"/>
              </w:rPr>
              <w:t>1</w:t>
            </w:r>
            <w:r>
              <w:rPr>
                <w:rFonts w:hint="default" w:ascii="Arial" w:hAnsi="Arial" w:cs="Arial"/>
                <w:sz w:val="22"/>
                <w:szCs w:val="22"/>
                <w:lang w:val="pl-PL"/>
              </w:rPr>
              <w:t>0</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Układ hamulcowy – hydrauliczny ze wspomaganiem, wyposażony w 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ascii="Arial" w:hAnsi="Arial" w:cs="Arial"/>
                <w:sz w:val="22"/>
                <w:szCs w:val="22"/>
              </w:rPr>
              <w:t>1</w:t>
            </w:r>
            <w:r>
              <w:rPr>
                <w:rFonts w:hint="default" w:ascii="Arial" w:hAnsi="Arial" w:cs="Arial"/>
                <w:sz w:val="22"/>
                <w:szCs w:val="22"/>
                <w:lang w:val="pl-PL"/>
              </w:rPr>
              <w:t>1</w:t>
            </w:r>
            <w:r>
              <w:rPr>
                <w:rFonts w:ascii="Arial" w:hAnsi="Arial" w:cs="Arial"/>
                <w:sz w:val="22"/>
                <w:szCs w:val="22"/>
              </w:rPr>
              <w:t>.</w:t>
            </w:r>
          </w:p>
        </w:tc>
        <w:tc>
          <w:tcPr>
            <w:tcW w:w="8076" w:type="dxa"/>
            <w:noWrap w:val="0"/>
            <w:vAlign w:val="top"/>
          </w:tcPr>
          <w:p>
            <w:pPr>
              <w:autoSpaceDN w:val="0"/>
              <w:adjustRightInd w:val="0"/>
              <w:rPr>
                <w:rFonts w:ascii="Arial" w:hAnsi="Arial" w:cs="Arial"/>
                <w:color w:val="70AD47"/>
                <w:sz w:val="22"/>
                <w:szCs w:val="22"/>
              </w:rPr>
            </w:pPr>
            <w:r>
              <w:rPr>
                <w:rFonts w:ascii="Arial" w:hAnsi="Arial" w:cs="Arial"/>
                <w:color w:val="000000"/>
                <w:sz w:val="22"/>
                <w:szCs w:val="22"/>
              </w:rPr>
              <w:t xml:space="preserve">Pojazd wyposażony w koła minimum 16 cali, opony szosowe letnie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ascii="Arial" w:hAnsi="Arial" w:cs="Arial"/>
                <w:sz w:val="22"/>
                <w:szCs w:val="22"/>
              </w:rPr>
              <w:t>1</w:t>
            </w:r>
            <w:r>
              <w:rPr>
                <w:rFonts w:hint="default" w:ascii="Arial" w:hAnsi="Arial" w:cs="Arial"/>
                <w:sz w:val="22"/>
                <w:szCs w:val="22"/>
                <w:lang w:val="pl-PL"/>
              </w:rPr>
              <w:t>2</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Lusterka zewnętrzne sterowane i ogrzewane elektrycznie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ascii="Arial" w:hAnsi="Arial" w:cs="Arial"/>
                <w:sz w:val="22"/>
                <w:szCs w:val="22"/>
              </w:rPr>
              <w:t>1</w:t>
            </w:r>
            <w:r>
              <w:rPr>
                <w:rFonts w:hint="default" w:ascii="Arial" w:hAnsi="Arial" w:cs="Arial"/>
                <w:sz w:val="22"/>
                <w:szCs w:val="22"/>
                <w:lang w:val="pl-PL"/>
              </w:rPr>
              <w:t>3</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centralny zamek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ascii="Arial" w:hAnsi="Arial" w:cs="Arial"/>
                <w:sz w:val="22"/>
                <w:szCs w:val="22"/>
              </w:rPr>
              <w:t>1</w:t>
            </w:r>
            <w:r>
              <w:rPr>
                <w:rFonts w:hint="default" w:ascii="Arial" w:hAnsi="Arial" w:cs="Arial"/>
                <w:sz w:val="22"/>
                <w:szCs w:val="22"/>
                <w:lang w:val="pl-PL"/>
              </w:rPr>
              <w:t>4</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przednie światła przeciwmgielne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15</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zamocowaną gaśnicę proszkową min. 6 kg w przedziale bagażowym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16</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hak holowniczy z możliwością ciągnięcia przyczepy z/bez hamulca min. 2000 kg/750kg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17</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czujniki parkowania przód, tył zintegrowane z kamerą cofania 360 stopni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18</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Instalacja elektryczna 12 V., przetwornica z gniazdkiem 230V w przedziale kabiny 1 szt. i w przedziale osobowym 1 szt.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19</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tempomat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20</w:t>
            </w:r>
            <w:r>
              <w:rPr>
                <w:rFonts w:ascii="Arial" w:hAnsi="Arial" w:cs="Arial"/>
                <w:sz w:val="22"/>
                <w:szCs w:val="22"/>
              </w:rPr>
              <w:t>.</w:t>
            </w:r>
          </w:p>
        </w:tc>
        <w:tc>
          <w:tcPr>
            <w:tcW w:w="8076" w:type="dxa"/>
            <w:noWrap w:val="0"/>
            <w:vAlign w:val="top"/>
          </w:tcPr>
          <w:p>
            <w:pPr>
              <w:autoSpaceDN w:val="0"/>
              <w:adjustRightInd w:val="0"/>
              <w:rPr>
                <w:rFonts w:hint="default" w:ascii="Arial" w:hAnsi="Arial" w:cs="Arial"/>
                <w:color w:val="000000"/>
                <w:sz w:val="22"/>
                <w:szCs w:val="22"/>
                <w:lang w:val="pl-PL"/>
              </w:rPr>
            </w:pPr>
            <w:r>
              <w:rPr>
                <w:rFonts w:ascii="Arial" w:hAnsi="Arial" w:cs="Arial"/>
                <w:color w:val="000000"/>
                <w:sz w:val="22"/>
                <w:szCs w:val="22"/>
              </w:rPr>
              <w:t>Pojazd wyposażony w urządzenie ład</w:t>
            </w:r>
            <w:r>
              <w:rPr>
                <w:rFonts w:hint="default" w:ascii="Arial" w:hAnsi="Arial" w:cs="Arial"/>
                <w:color w:val="000000"/>
                <w:sz w:val="22"/>
                <w:szCs w:val="22"/>
                <w:lang w:val="pl-PL"/>
              </w:rPr>
              <w:t>owarkę podtrzymującą stałe napięcie w samochodzie z możliwością podpięcia do gniazda na 230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21</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oświetlenie sufitowe przedziału osobowego i przedziału bagażowego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22</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rPr>
            </w:pPr>
            <w:r>
              <w:rPr>
                <w:rFonts w:ascii="Arial" w:hAnsi="Arial" w:cs="Arial"/>
                <w:sz w:val="22"/>
                <w:szCs w:val="22"/>
              </w:rPr>
              <w:t>Pojazd wyposażony w automatyczne światła mijania i do jazdy dziennej np. 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23</w:t>
            </w:r>
            <w:r>
              <w:rPr>
                <w:rFonts w:ascii="Arial" w:hAnsi="Arial" w:cs="Arial"/>
                <w:sz w:val="22"/>
                <w:szCs w:val="22"/>
              </w:rPr>
              <w:t>.</w:t>
            </w:r>
          </w:p>
        </w:tc>
        <w:tc>
          <w:tcPr>
            <w:tcW w:w="8076" w:type="dxa"/>
            <w:noWrap w:val="0"/>
            <w:vAlign w:val="top"/>
          </w:tcPr>
          <w:p>
            <w:pPr>
              <w:autoSpaceDN w:val="0"/>
              <w:adjustRightInd w:val="0"/>
              <w:rPr>
                <w:rFonts w:ascii="Arial" w:hAnsi="Arial" w:cs="Arial"/>
                <w:color w:val="000000"/>
                <w:sz w:val="22"/>
                <w:szCs w:val="22"/>
              </w:rPr>
            </w:pPr>
            <w:r>
              <w:rPr>
                <w:rFonts w:ascii="Arial" w:hAnsi="Arial" w:cs="Arial"/>
                <w:color w:val="000000"/>
                <w:sz w:val="22"/>
                <w:szCs w:val="22"/>
              </w:rPr>
              <w:t>Pojazd wyposażyć w fab</w:t>
            </w:r>
            <w:r>
              <w:rPr>
                <w:rFonts w:ascii="Arial" w:hAnsi="Arial" w:cs="Arial"/>
                <w:color w:val="000000"/>
                <w:sz w:val="22"/>
                <w:szCs w:val="22"/>
                <w:highlight w:val="none"/>
              </w:rPr>
              <w:t xml:space="preserve">ryczny radioodtwarzacz z MP3 i gniazdem USB oraz z nawigacją lub możliwością podłączenia </w:t>
            </w:r>
            <w:r>
              <w:rPr>
                <w:rFonts w:ascii="Arial" w:hAnsi="Arial" w:cs="Arial"/>
                <w:color w:val="000000"/>
                <w:sz w:val="22"/>
                <w:szCs w:val="22"/>
                <w:highlight w:val="none"/>
                <w:lang w:val="pl-PL"/>
              </w:rPr>
              <w:t>smartphone</w:t>
            </w:r>
            <w:r>
              <w:rPr>
                <w:rFonts w:ascii="Arial" w:hAnsi="Arial" w:cs="Arial"/>
                <w:color w:val="000000"/>
                <w:sz w:val="22"/>
                <w:szCs w:val="22"/>
                <w:highlight w:val="none"/>
              </w:rPr>
              <w:t xml:space="preserve"> do fabrycznie zabudowanego wyświetlacza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24</w:t>
            </w:r>
            <w:r>
              <w:rPr>
                <w:rFonts w:ascii="Arial" w:hAnsi="Arial" w:cs="Arial"/>
                <w:sz w:val="22"/>
                <w:szCs w:val="22"/>
              </w:rPr>
              <w:t>.</w:t>
            </w:r>
          </w:p>
        </w:tc>
        <w:tc>
          <w:tcPr>
            <w:tcW w:w="8076" w:type="dxa"/>
            <w:noWrap w:val="0"/>
            <w:vAlign w:val="top"/>
          </w:tcPr>
          <w:p>
            <w:pPr>
              <w:autoSpaceDN w:val="0"/>
              <w:adjustRightInd w:val="0"/>
              <w:rPr>
                <w:rFonts w:ascii="Arial" w:hAnsi="Arial" w:cs="Arial"/>
                <w:color w:val="000000"/>
                <w:sz w:val="22"/>
                <w:szCs w:val="22"/>
              </w:rPr>
            </w:pPr>
            <w:r>
              <w:rPr>
                <w:rFonts w:ascii="Arial" w:hAnsi="Arial" w:cs="Arial"/>
                <w:color w:val="000000"/>
                <w:sz w:val="22"/>
                <w:szCs w:val="22"/>
              </w:rPr>
              <w:t>Wnętrze pojazdu – pełne poszycie ścian bocznych materiałem odpornym na zabrudzenia i łatwym do utrzymania w czystości w kolorze ciemnym.</w:t>
            </w:r>
          </w:p>
          <w:p>
            <w:pPr>
              <w:autoSpaceDN w:val="0"/>
              <w:adjustRightInd w:val="0"/>
              <w:rPr>
                <w:rFonts w:ascii="Arial" w:hAnsi="Arial" w:cs="Arial"/>
                <w:color w:val="000000"/>
                <w:sz w:val="22"/>
                <w:szCs w:val="22"/>
              </w:rPr>
            </w:pPr>
            <w:r>
              <w:rPr>
                <w:rFonts w:ascii="Arial" w:hAnsi="Arial" w:cs="Arial"/>
                <w:color w:val="000000"/>
                <w:sz w:val="22"/>
                <w:szCs w:val="22"/>
              </w:rPr>
              <w:t>Podsufitka tapicerowana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25</w:t>
            </w:r>
            <w:r>
              <w:rPr>
                <w:rFonts w:ascii="Arial" w:hAnsi="Arial" w:cs="Arial"/>
                <w:sz w:val="22"/>
                <w:szCs w:val="22"/>
              </w:rPr>
              <w:t>.</w:t>
            </w:r>
          </w:p>
        </w:tc>
        <w:tc>
          <w:tcPr>
            <w:tcW w:w="8076" w:type="dxa"/>
            <w:noWrap w:val="0"/>
            <w:vAlign w:val="top"/>
          </w:tcPr>
          <w:p>
            <w:pPr>
              <w:autoSpaceDN w:val="0"/>
              <w:adjustRightInd w:val="0"/>
              <w:rPr>
                <w:rFonts w:ascii="Arial" w:hAnsi="Arial" w:cs="Arial"/>
                <w:color w:val="000000"/>
                <w:sz w:val="22"/>
                <w:szCs w:val="22"/>
              </w:rPr>
            </w:pPr>
            <w:r>
              <w:rPr>
                <w:rFonts w:ascii="Arial" w:hAnsi="Arial" w:cs="Arial"/>
                <w:color w:val="000000"/>
                <w:sz w:val="22"/>
                <w:szCs w:val="22"/>
              </w:rPr>
              <w:t>Pojazd wyposażony w zabudowany stolik składany z możliwością demontażu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rPr>
            </w:pPr>
            <w:r>
              <w:rPr>
                <w:rFonts w:hint="default" w:ascii="Arial" w:hAnsi="Arial" w:cs="Arial"/>
                <w:sz w:val="22"/>
                <w:szCs w:val="22"/>
                <w:lang w:val="pl-PL"/>
              </w:rPr>
              <w:t>26</w:t>
            </w:r>
            <w:r>
              <w:rPr>
                <w:rFonts w:ascii="Arial" w:hAnsi="Arial" w:cs="Arial"/>
                <w:sz w:val="22"/>
                <w:szCs w:val="22"/>
              </w:rPr>
              <w:t>.</w:t>
            </w:r>
          </w:p>
        </w:tc>
        <w:tc>
          <w:tcPr>
            <w:tcW w:w="8076" w:type="dxa"/>
            <w:noWrap w:val="0"/>
            <w:vAlign w:val="top"/>
          </w:tcPr>
          <w:p>
            <w:pPr>
              <w:autoSpaceDN w:val="0"/>
              <w:adjustRightInd w:val="0"/>
              <w:rPr>
                <w:rFonts w:ascii="Arial" w:hAnsi="Arial" w:cs="Arial"/>
                <w:color w:val="FF0000"/>
                <w:sz w:val="22"/>
                <w:szCs w:val="22"/>
              </w:rPr>
            </w:pPr>
            <w:r>
              <w:rPr>
                <w:rFonts w:ascii="Arial" w:hAnsi="Arial" w:cs="Arial"/>
                <w:color w:val="000000"/>
                <w:sz w:val="22"/>
                <w:szCs w:val="22"/>
              </w:rPr>
              <w:t>Pojazd wyposażony w dwustrefową klimatyzację sterowaną oddzielnie dla przestrzeni kierowcy i przestrzeni bagażowo – osobowej.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top"/>
          </w:tcPr>
          <w:p>
            <w:pPr>
              <w:rPr>
                <w:rFonts w:ascii="Arial" w:hAnsi="Arial" w:cs="Arial"/>
                <w:sz w:val="22"/>
                <w:szCs w:val="22"/>
                <w:lang w:eastAsia="en-US"/>
              </w:rPr>
            </w:pPr>
            <w:r>
              <w:rPr>
                <w:rFonts w:hint="default" w:ascii="Arial" w:hAnsi="Arial" w:cs="Arial"/>
                <w:sz w:val="22"/>
                <w:szCs w:val="22"/>
                <w:lang w:val="pl-PL"/>
              </w:rPr>
              <w:t>27</w:t>
            </w:r>
            <w:r>
              <w:rPr>
                <w:rFonts w:ascii="Arial" w:hAnsi="Arial" w:cs="Arial"/>
                <w:sz w:val="22"/>
                <w:szCs w:val="22"/>
              </w:rPr>
              <w:t>.</w:t>
            </w:r>
          </w:p>
        </w:tc>
        <w:tc>
          <w:tcPr>
            <w:tcW w:w="8076" w:type="dxa"/>
            <w:noWrap w:val="0"/>
            <w:vAlign w:val="top"/>
          </w:tcPr>
          <w:p>
            <w:pPr>
              <w:autoSpaceDN w:val="0"/>
              <w:adjustRightInd w:val="0"/>
              <w:rPr>
                <w:rFonts w:ascii="Arial" w:hAnsi="Arial" w:cs="Arial"/>
                <w:sz w:val="22"/>
                <w:szCs w:val="22"/>
                <w:lang w:eastAsia="en-US"/>
              </w:rPr>
            </w:pPr>
            <w:r>
              <w:rPr>
                <w:rFonts w:ascii="Arial" w:hAnsi="Arial" w:cs="Arial"/>
                <w:color w:val="000000"/>
                <w:sz w:val="22"/>
                <w:szCs w:val="22"/>
                <w:highlight w:val="none"/>
              </w:rPr>
              <w:t>Okres gwarancji na cały samochód minimum 36 miesięcy</w:t>
            </w:r>
          </w:p>
        </w:tc>
      </w:tr>
    </w:tbl>
    <w:p>
      <w:pPr>
        <w:pStyle w:val="4"/>
        <w:spacing w:after="25"/>
        <w:rPr>
          <w:rFonts w:hint="default" w:ascii="Trebuchet MS" w:hAnsi="Trebuchet MS" w:cs="Trebuchet MS"/>
          <w:sz w:val="20"/>
          <w:szCs w:val="20"/>
        </w:rPr>
      </w:pPr>
    </w:p>
    <w:p>
      <w:pPr>
        <w:numPr>
          <w:ilvl w:val="1"/>
          <w:numId w:val="2"/>
        </w:numPr>
        <w:suppressAutoHyphens/>
        <w:autoSpaceDE/>
        <w:autoSpaceDN/>
        <w:ind w:left="284" w:hanging="284"/>
        <w:jc w:val="both"/>
        <w:rPr>
          <w:rFonts w:ascii="Arial Narrow" w:hAnsi="Arial Narrow"/>
          <w:sz w:val="24"/>
          <w:szCs w:val="24"/>
          <w:lang w:eastAsia="pl-PL"/>
        </w:rPr>
      </w:pPr>
      <w:r>
        <w:rPr>
          <w:rFonts w:ascii="Arial Narrow" w:hAnsi="Arial Narrow"/>
        </w:rPr>
        <w:t>Tam, gdzie w zapisach Specyfikacji Warunków Zamówienia czy w którymkolwiek z załączników do SWZ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ust.1 pkt 2 lub ust. 3 ustawy, Zamawiający zgodnie z art. 99 ust. 5 ustawy dopuszcza złożenie oferty równoważnej lub zgodnie z art. 101 ust. 4 ustawy zaoferowanie rozwiązań „równoważnych” w stosunku do wskazanych w </w:t>
      </w:r>
      <w:bookmarkStart w:id="0" w:name="_Hlk69994663"/>
      <w:r>
        <w:rPr>
          <w:rFonts w:ascii="Arial Narrow" w:hAnsi="Arial Narrow"/>
        </w:rPr>
        <w:t xml:space="preserve">dokumentacji przetargowej </w:t>
      </w:r>
      <w:bookmarkEnd w:id="0"/>
      <w:r>
        <w:rPr>
          <w:rFonts w:ascii="Arial Narrow" w:hAnsi="Arial Narrow"/>
        </w:rPr>
        <w:t>pod warunkiem, że zapewnią uzyskanie parametrów technicznych nie gorszych od założonych w dokumentacji przetargowej oraz będą zgodne pod względem:</w:t>
      </w:r>
    </w:p>
    <w:p>
      <w:pPr>
        <w:widowControl/>
        <w:numPr>
          <w:ilvl w:val="0"/>
          <w:numId w:val="3"/>
        </w:numPr>
        <w:tabs>
          <w:tab w:val="left" w:pos="-286"/>
          <w:tab w:val="left" w:pos="426"/>
        </w:tabs>
        <w:autoSpaceDE/>
        <w:autoSpaceDN/>
        <w:ind w:hanging="294"/>
        <w:rPr>
          <w:rFonts w:ascii="Arial Narrow" w:hAnsi="Arial Narrow"/>
        </w:rPr>
      </w:pPr>
      <w:r>
        <w:rPr>
          <w:rFonts w:ascii="Arial Narrow" w:hAnsi="Arial Narrow"/>
        </w:rPr>
        <w:t>gabarytów i konstrukcji (wielkość, rodzaj, właściwości fizyczne, liczba elementów składowych, itp.),</w:t>
      </w:r>
    </w:p>
    <w:p>
      <w:pPr>
        <w:widowControl/>
        <w:numPr>
          <w:ilvl w:val="0"/>
          <w:numId w:val="4"/>
        </w:numPr>
        <w:tabs>
          <w:tab w:val="left" w:pos="-286"/>
          <w:tab w:val="left" w:pos="426"/>
        </w:tabs>
        <w:autoSpaceDE/>
        <w:autoSpaceDN/>
        <w:ind w:hanging="294"/>
        <w:jc w:val="both"/>
        <w:rPr>
          <w:rFonts w:ascii="Arial Narrow" w:hAnsi="Arial Narrow"/>
        </w:rPr>
      </w:pPr>
      <w:r>
        <w:rPr>
          <w:rFonts w:ascii="Arial Narrow" w:hAnsi="Arial Narrow"/>
        </w:rPr>
        <w:t>charakteru użytkowego (tożsamość funkcji, itp.),</w:t>
      </w:r>
    </w:p>
    <w:p>
      <w:pPr>
        <w:widowControl/>
        <w:numPr>
          <w:ilvl w:val="0"/>
          <w:numId w:val="3"/>
        </w:numPr>
        <w:tabs>
          <w:tab w:val="left" w:pos="-286"/>
          <w:tab w:val="left" w:pos="426"/>
        </w:tabs>
        <w:autoSpaceDE/>
        <w:autoSpaceDN/>
        <w:ind w:hanging="294"/>
        <w:jc w:val="both"/>
        <w:rPr>
          <w:rFonts w:ascii="Arial Narrow" w:hAnsi="Arial Narrow"/>
        </w:rPr>
      </w:pPr>
      <w:r>
        <w:rPr>
          <w:rFonts w:ascii="Arial Narrow" w:hAnsi="Arial Narrow"/>
        </w:rPr>
        <w:t>charakterystyki materiałowej (rodzaj i jakość materiałów, itp.),</w:t>
      </w:r>
    </w:p>
    <w:p>
      <w:pPr>
        <w:widowControl/>
        <w:numPr>
          <w:ilvl w:val="0"/>
          <w:numId w:val="3"/>
        </w:numPr>
        <w:tabs>
          <w:tab w:val="left" w:pos="-286"/>
          <w:tab w:val="left" w:pos="426"/>
        </w:tabs>
        <w:autoSpaceDE/>
        <w:autoSpaceDN/>
        <w:ind w:hanging="294"/>
        <w:jc w:val="both"/>
        <w:rPr>
          <w:rFonts w:ascii="Arial Narrow" w:hAnsi="Arial Narrow"/>
        </w:rPr>
      </w:pPr>
      <w:r>
        <w:rPr>
          <w:rFonts w:ascii="Arial Narrow" w:hAnsi="Arial Narrow"/>
        </w:rPr>
        <w:t>parametrów technicznych (wytrzymałość, trwałość, dane techniczne, dane hydrauliczne, charakterystyki liniowe, konstrukcja, itp.),</w:t>
      </w:r>
    </w:p>
    <w:p>
      <w:pPr>
        <w:widowControl/>
        <w:numPr>
          <w:ilvl w:val="0"/>
          <w:numId w:val="3"/>
        </w:numPr>
        <w:tabs>
          <w:tab w:val="left" w:pos="-286"/>
          <w:tab w:val="left" w:pos="426"/>
        </w:tabs>
        <w:autoSpaceDE/>
        <w:autoSpaceDN/>
        <w:ind w:hanging="294"/>
        <w:jc w:val="both"/>
        <w:rPr>
          <w:rFonts w:ascii="Arial Narrow" w:hAnsi="Arial Narrow"/>
        </w:rPr>
      </w:pPr>
      <w:r>
        <w:rPr>
          <w:rFonts w:ascii="Arial Narrow" w:hAnsi="Arial Narrow"/>
        </w:rPr>
        <w:t>parametrów bezpieczeństwa użytkowania,</w:t>
      </w:r>
    </w:p>
    <w:p>
      <w:pPr>
        <w:widowControl/>
        <w:numPr>
          <w:ilvl w:val="0"/>
          <w:numId w:val="3"/>
        </w:numPr>
        <w:tabs>
          <w:tab w:val="left" w:pos="-286"/>
          <w:tab w:val="left" w:pos="426"/>
        </w:tabs>
        <w:autoSpaceDE/>
        <w:autoSpaceDN/>
        <w:ind w:hanging="294"/>
        <w:jc w:val="both"/>
        <w:rPr>
          <w:rFonts w:ascii="Arial Narrow" w:hAnsi="Arial Narrow"/>
        </w:rPr>
      </w:pPr>
      <w:r>
        <w:rPr>
          <w:rFonts w:ascii="Arial Narrow" w:hAnsi="Arial Narrow"/>
        </w:rPr>
        <w:t>standardów emisyjnych.</w:t>
      </w:r>
    </w:p>
    <w:p>
      <w:pPr>
        <w:pStyle w:val="9"/>
        <w:ind w:left="284"/>
        <w:jc w:val="both"/>
        <w:rPr>
          <w:rFonts w:ascii="Arial Narrow" w:hAnsi="Arial Narrow"/>
        </w:rPr>
      </w:pPr>
      <w:r>
        <w:rPr>
          <w:rFonts w:ascii="Arial Narrow" w:hAnsi="Arial Narrow"/>
        </w:rPr>
        <w:tab/>
      </w:r>
      <w:r>
        <w:rPr>
          <w:rFonts w:ascii="Arial Narrow" w:hAnsi="Arial Narrow"/>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pPr>
        <w:pStyle w:val="9"/>
        <w:ind w:left="284"/>
        <w:jc w:val="both"/>
        <w:rPr>
          <w:rFonts w:ascii="Arial Narrow" w:hAnsi="Arial Narrow"/>
        </w:rPr>
      </w:pPr>
      <w:r>
        <w:rPr>
          <w:rFonts w:ascii="Arial Narrow" w:hAnsi="Arial Narrow"/>
        </w:rPr>
        <w:t>Ilekroć w dokumentacji przetargowej mowa jest o polskich normach, należy przez to rozumieć polskie normy przenoszące normy europejskie lub normy innych państw członkowskich Europejskiego Obszaru Gospodarczego lub inne normy lub dokumenty, o których mowa w art. 101 ust. 1 pkt 2 ustawy.</w:t>
      </w:r>
    </w:p>
    <w:p>
      <w:pPr>
        <w:pStyle w:val="4"/>
        <w:spacing w:after="25"/>
        <w:rPr>
          <w:rFonts w:hint="default" w:ascii="Trebuchet MS" w:hAnsi="Trebuchet MS" w:cs="Trebuchet MS"/>
          <w:sz w:val="20"/>
          <w:szCs w:val="20"/>
        </w:rPr>
      </w:pPr>
    </w:p>
    <w:sectPr>
      <w:footerReference r:id="rId5" w:type="default"/>
      <w:footerReference r:id="rId6" w:type="even"/>
      <w:pgSz w:w="11906" w:h="16838"/>
      <w:pgMar w:top="913" w:right="991" w:bottom="965" w:left="1133" w:header="708" w:footer="714"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Arial Narrow">
    <w:panose1 w:val="020B0606020202030204"/>
    <w:charset w:val="EE"/>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ind w:right="-1764"/>
      <w:jc w:val="right"/>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ind w:right="-1764"/>
      <w:jc w:val="right"/>
    </w:pPr>
    <w:r>
      <w:rPr>
        <w:sz w:val="24"/>
      </w:rPr>
      <w:fldChar w:fldCharType="begin"/>
    </w:r>
    <w:r>
      <w:rPr>
        <w:sz w:val="24"/>
      </w:rPr>
      <w:instrText xml:space="preserve"> PAGE </w:instrText>
    </w:r>
    <w:r>
      <w:rPr>
        <w:sz w:val="24"/>
      </w:rPr>
      <w:fldChar w:fldCharType="separate"/>
    </w:r>
    <w:r>
      <w:rPr>
        <w:sz w:val="24"/>
      </w:rPr>
      <w:t>20</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4" w:lineRule="auto"/>
      </w:pPr>
      <w:r>
        <w:separator/>
      </w:r>
    </w:p>
  </w:footnote>
  <w:footnote w:type="continuationSeparator" w:id="1">
    <w:p>
      <w:pPr>
        <w:spacing w:before="0" w:after="0" w:line="24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lowerLetter"/>
      <w:lvlText w:val="%1)"/>
      <w:lvlJc w:val="left"/>
      <w:pPr>
        <w:tabs>
          <w:tab w:val="left" w:pos="709"/>
        </w:tabs>
        <w:ind w:left="720" w:hanging="360"/>
      </w:pPr>
      <w:rPr>
        <w:rFonts w:ascii="Trebuchet MS" w:hAnsi="Trebuchet MS" w:cs="Times New Roman"/>
        <w:sz w:val="20"/>
        <w:szCs w:val="20"/>
      </w:rPr>
    </w:lvl>
  </w:abstractNum>
  <w:abstractNum w:abstractNumId="1">
    <w:nsid w:val="00000004"/>
    <w:multiLevelType w:val="multilevel"/>
    <w:tmpl w:val="00000004"/>
    <w:lvl w:ilvl="0" w:tentative="0">
      <w:start w:val="1"/>
      <w:numFmt w:val="lowerLetter"/>
      <w:lvlText w:val="%1)"/>
      <w:lvlJc w:val="left"/>
      <w:pPr>
        <w:tabs>
          <w:tab w:val="left" w:pos="709"/>
        </w:tabs>
        <w:ind w:left="720" w:hanging="360"/>
      </w:pPr>
      <w:rPr>
        <w:rFonts w:ascii="Trebuchet MS" w:hAnsi="Trebuchet MS" w:cs="Times New Roman"/>
        <w:sz w:val="20"/>
        <w:szCs w:val="20"/>
      </w:rPr>
    </w:lvl>
    <w:lvl w:ilvl="1" w:tentative="0">
      <w:start w:val="1"/>
      <w:numFmt w:val="decimal"/>
      <w:lvlText w:val="%2."/>
      <w:lvlJc w:val="left"/>
      <w:pPr>
        <w:tabs>
          <w:tab w:val="left" w:pos="1440"/>
        </w:tabs>
        <w:ind w:left="1440" w:hanging="360"/>
      </w:pPr>
      <w:rPr>
        <w:rFonts w:ascii="Trebuchet MS" w:hAnsi="Trebuchet MS" w:cs="Times New Roman"/>
        <w:sz w:val="20"/>
        <w:szCs w:val="20"/>
      </w:rPr>
    </w:lvl>
    <w:lvl w:ilvl="2" w:tentative="0">
      <w:start w:val="1"/>
      <w:numFmt w:val="decimal"/>
      <w:lvlText w:val="%3."/>
      <w:lvlJc w:val="left"/>
      <w:pPr>
        <w:tabs>
          <w:tab w:val="left" w:pos="2160"/>
        </w:tabs>
        <w:ind w:left="2160" w:hanging="360"/>
      </w:pPr>
      <w:rPr>
        <w:rFonts w:ascii="Trebuchet MS" w:hAnsi="Trebuchet MS" w:cs="Times New Roman"/>
        <w:sz w:val="20"/>
        <w:szCs w:val="20"/>
      </w:rPr>
    </w:lvl>
    <w:lvl w:ilvl="3" w:tentative="0">
      <w:start w:val="1"/>
      <w:numFmt w:val="decimal"/>
      <w:lvlText w:val="%4."/>
      <w:lvlJc w:val="left"/>
      <w:pPr>
        <w:tabs>
          <w:tab w:val="left" w:pos="2880"/>
        </w:tabs>
        <w:ind w:left="2880" w:hanging="360"/>
      </w:pPr>
      <w:rPr>
        <w:rFonts w:ascii="Trebuchet MS" w:hAnsi="Trebuchet MS" w:cs="Times New Roman"/>
        <w:sz w:val="20"/>
        <w:szCs w:val="20"/>
      </w:rPr>
    </w:lvl>
    <w:lvl w:ilvl="4" w:tentative="0">
      <w:start w:val="1"/>
      <w:numFmt w:val="decimal"/>
      <w:lvlText w:val="%5."/>
      <w:lvlJc w:val="left"/>
      <w:pPr>
        <w:tabs>
          <w:tab w:val="left" w:pos="3600"/>
        </w:tabs>
        <w:ind w:left="3600" w:hanging="360"/>
      </w:pPr>
      <w:rPr>
        <w:rFonts w:ascii="Trebuchet MS" w:hAnsi="Trebuchet MS" w:cs="Times New Roman"/>
        <w:sz w:val="20"/>
        <w:szCs w:val="20"/>
      </w:rPr>
    </w:lvl>
    <w:lvl w:ilvl="5" w:tentative="0">
      <w:start w:val="1"/>
      <w:numFmt w:val="decimal"/>
      <w:lvlText w:val="%6."/>
      <w:lvlJc w:val="left"/>
      <w:pPr>
        <w:tabs>
          <w:tab w:val="left" w:pos="4320"/>
        </w:tabs>
        <w:ind w:left="4320" w:hanging="360"/>
      </w:pPr>
      <w:rPr>
        <w:rFonts w:ascii="Trebuchet MS" w:hAnsi="Trebuchet MS" w:cs="Times New Roman"/>
        <w:sz w:val="20"/>
        <w:szCs w:val="20"/>
      </w:rPr>
    </w:lvl>
    <w:lvl w:ilvl="6" w:tentative="0">
      <w:start w:val="1"/>
      <w:numFmt w:val="decimal"/>
      <w:lvlText w:val="%7."/>
      <w:lvlJc w:val="left"/>
      <w:pPr>
        <w:tabs>
          <w:tab w:val="left" w:pos="5040"/>
        </w:tabs>
        <w:ind w:left="5040" w:hanging="360"/>
      </w:pPr>
      <w:rPr>
        <w:rFonts w:ascii="Trebuchet MS" w:hAnsi="Trebuchet MS" w:cs="Times New Roman"/>
        <w:sz w:val="20"/>
        <w:szCs w:val="20"/>
      </w:rPr>
    </w:lvl>
    <w:lvl w:ilvl="7" w:tentative="0">
      <w:start w:val="1"/>
      <w:numFmt w:val="decimal"/>
      <w:lvlText w:val="%8."/>
      <w:lvlJc w:val="left"/>
      <w:pPr>
        <w:tabs>
          <w:tab w:val="left" w:pos="5760"/>
        </w:tabs>
        <w:ind w:left="5760" w:hanging="360"/>
      </w:pPr>
      <w:rPr>
        <w:rFonts w:ascii="Trebuchet MS" w:hAnsi="Trebuchet MS" w:cs="Times New Roman"/>
        <w:sz w:val="20"/>
        <w:szCs w:val="20"/>
      </w:rPr>
    </w:lvl>
    <w:lvl w:ilvl="8" w:tentative="0">
      <w:start w:val="1"/>
      <w:numFmt w:val="decimal"/>
      <w:lvlText w:val="%9."/>
      <w:lvlJc w:val="left"/>
      <w:pPr>
        <w:tabs>
          <w:tab w:val="left" w:pos="6480"/>
        </w:tabs>
        <w:ind w:left="6480" w:hanging="360"/>
      </w:pPr>
      <w:rPr>
        <w:rFonts w:ascii="Trebuchet MS" w:hAnsi="Trebuchet MS" w:cs="Times New Roman"/>
        <w:sz w:val="20"/>
        <w:szCs w:val="20"/>
      </w:rPr>
    </w:lvl>
  </w:abstractNum>
  <w:abstractNum w:abstractNumId="2">
    <w:nsid w:val="09E846FD"/>
    <w:multiLevelType w:val="multilevel"/>
    <w:tmpl w:val="09E846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B53E3D"/>
    <w:multiLevelType w:val="multilevel"/>
    <w:tmpl w:val="25B53E3D"/>
    <w:lvl w:ilvl="0" w:tentative="0">
      <w:start w:val="1"/>
      <w:numFmt w:val="upperRoman"/>
      <w:lvlText w:val="%1."/>
      <w:lvlJc w:val="right"/>
      <w:pPr>
        <w:ind w:left="1440" w:hanging="360"/>
      </w:pPr>
      <w:rPr>
        <w:b/>
      </w:rPr>
    </w:lvl>
    <w:lvl w:ilvl="1" w:tentative="0">
      <w:start w:val="1"/>
      <w:numFmt w:val="decimal"/>
      <w:lvlText w:val="%2."/>
      <w:lvlJc w:val="left"/>
      <w:pPr>
        <w:ind w:left="2345" w:hanging="360"/>
      </w:pPr>
      <w:rPr>
        <w:b w:val="0"/>
        <w:bCs w:val="0"/>
      </w:rPr>
    </w:lvl>
    <w:lvl w:ilvl="2" w:tentative="0">
      <w:start w:val="1"/>
      <w:numFmt w:val="upperLetter"/>
      <w:lvlText w:val="%3)"/>
      <w:lvlJc w:val="left"/>
      <w:pPr>
        <w:ind w:left="3060" w:hanging="360"/>
      </w:pPr>
    </w:lvl>
    <w:lvl w:ilvl="3" w:tentative="0">
      <w:start w:val="1"/>
      <w:numFmt w:val="lowerLetter"/>
      <w:lvlText w:val="%4)"/>
      <w:lvlJc w:val="left"/>
      <w:pPr>
        <w:ind w:left="644"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32"/>
    <w:rsid w:val="00073E09"/>
    <w:rsid w:val="000A2C9F"/>
    <w:rsid w:val="000D61F4"/>
    <w:rsid w:val="000E2A30"/>
    <w:rsid w:val="00104085"/>
    <w:rsid w:val="001822B9"/>
    <w:rsid w:val="001C2D4A"/>
    <w:rsid w:val="001F2A63"/>
    <w:rsid w:val="00216D3F"/>
    <w:rsid w:val="00233E32"/>
    <w:rsid w:val="00235C07"/>
    <w:rsid w:val="00243D66"/>
    <w:rsid w:val="00262125"/>
    <w:rsid w:val="002A0132"/>
    <w:rsid w:val="002C44BD"/>
    <w:rsid w:val="003131D6"/>
    <w:rsid w:val="003729D2"/>
    <w:rsid w:val="003E3CB6"/>
    <w:rsid w:val="004036C1"/>
    <w:rsid w:val="00416F07"/>
    <w:rsid w:val="0042631C"/>
    <w:rsid w:val="00455D26"/>
    <w:rsid w:val="004759EB"/>
    <w:rsid w:val="004A5236"/>
    <w:rsid w:val="00510A5A"/>
    <w:rsid w:val="00510E50"/>
    <w:rsid w:val="005A3810"/>
    <w:rsid w:val="005B1CD6"/>
    <w:rsid w:val="005C01B1"/>
    <w:rsid w:val="005F5B27"/>
    <w:rsid w:val="00625993"/>
    <w:rsid w:val="006B470B"/>
    <w:rsid w:val="007034AC"/>
    <w:rsid w:val="007043BB"/>
    <w:rsid w:val="0071159E"/>
    <w:rsid w:val="00736370"/>
    <w:rsid w:val="00774625"/>
    <w:rsid w:val="007746FD"/>
    <w:rsid w:val="00794903"/>
    <w:rsid w:val="007A7A51"/>
    <w:rsid w:val="007C064D"/>
    <w:rsid w:val="007C4DB4"/>
    <w:rsid w:val="00800D1F"/>
    <w:rsid w:val="00821B17"/>
    <w:rsid w:val="00830AEE"/>
    <w:rsid w:val="008348BF"/>
    <w:rsid w:val="008652B6"/>
    <w:rsid w:val="008F69FB"/>
    <w:rsid w:val="00900136"/>
    <w:rsid w:val="009C53E1"/>
    <w:rsid w:val="009C56B2"/>
    <w:rsid w:val="009E1E40"/>
    <w:rsid w:val="009F4E63"/>
    <w:rsid w:val="00A017AE"/>
    <w:rsid w:val="00A317AB"/>
    <w:rsid w:val="00A324F4"/>
    <w:rsid w:val="00A66405"/>
    <w:rsid w:val="00A9723C"/>
    <w:rsid w:val="00AC07D5"/>
    <w:rsid w:val="00AD6A26"/>
    <w:rsid w:val="00AD7A0B"/>
    <w:rsid w:val="00B01C1B"/>
    <w:rsid w:val="00B96B92"/>
    <w:rsid w:val="00C53989"/>
    <w:rsid w:val="00C91FA7"/>
    <w:rsid w:val="00C9603A"/>
    <w:rsid w:val="00CA6B51"/>
    <w:rsid w:val="00CB2E78"/>
    <w:rsid w:val="00CB322F"/>
    <w:rsid w:val="00D1003A"/>
    <w:rsid w:val="00D42183"/>
    <w:rsid w:val="00D53B68"/>
    <w:rsid w:val="00D5429F"/>
    <w:rsid w:val="00D55CAD"/>
    <w:rsid w:val="00DD7ACE"/>
    <w:rsid w:val="00E4541B"/>
    <w:rsid w:val="00E47565"/>
    <w:rsid w:val="00E67695"/>
    <w:rsid w:val="00EC6CDE"/>
    <w:rsid w:val="00EE36FE"/>
    <w:rsid w:val="00F31D83"/>
    <w:rsid w:val="00F72173"/>
    <w:rsid w:val="00FE4925"/>
    <w:rsid w:val="03CD2A24"/>
    <w:rsid w:val="0A1026E6"/>
    <w:rsid w:val="10637A13"/>
    <w:rsid w:val="1FD00064"/>
    <w:rsid w:val="234A3673"/>
    <w:rsid w:val="2E8D0FB6"/>
    <w:rsid w:val="377301AD"/>
    <w:rsid w:val="3B0F47C8"/>
    <w:rsid w:val="42CC3B2C"/>
    <w:rsid w:val="4540525A"/>
    <w:rsid w:val="459A42DE"/>
    <w:rsid w:val="4CAF43E0"/>
    <w:rsid w:val="52501699"/>
    <w:rsid w:val="575C3614"/>
    <w:rsid w:val="58E94AAB"/>
    <w:rsid w:val="5CB11738"/>
    <w:rsid w:val="64A70A2F"/>
    <w:rsid w:val="70633C4B"/>
    <w:rsid w:val="70B333B7"/>
    <w:rsid w:val="755D5D60"/>
    <w:rsid w:val="781905A5"/>
    <w:rsid w:val="7D517F2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autoSpaceDN w:val="0"/>
      <w:spacing w:after="160" w:line="244" w:lineRule="auto"/>
      <w:textAlignment w:val="baseline"/>
    </w:pPr>
    <w:rPr>
      <w:rFonts w:ascii="Calibri" w:hAnsi="Calibri" w:eastAsia="Times New Roman" w:cs="Times New Roman"/>
      <w:kern w:val="3"/>
      <w:sz w:val="22"/>
      <w:szCs w:val="22"/>
      <w:lang w:val="pl-PL" w:eastAsia="pl-PL" w:bidi="ar-SA"/>
    </w:rPr>
  </w:style>
  <w:style w:type="paragraph" w:styleId="2">
    <w:name w:val="heading 1"/>
    <w:basedOn w:val="3"/>
    <w:next w:val="5"/>
    <w:qFormat/>
    <w:uiPriority w:val="0"/>
    <w:pPr>
      <w:keepLines/>
      <w:spacing w:after="0"/>
      <w:ind w:left="1774" w:hanging="10"/>
      <w:outlineLvl w:val="0"/>
    </w:pPr>
    <w:rPr>
      <w:b/>
    </w:rPr>
  </w:style>
  <w:style w:type="character" w:default="1" w:styleId="6">
    <w:name w:val="Default Paragraph Font"/>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customStyle="1" w:styleId="3">
    <w:name w:val="Heading"/>
    <w:basedOn w:val="4"/>
    <w:next w:val="5"/>
    <w:autoRedefine/>
    <w:qFormat/>
    <w:uiPriority w:val="0"/>
    <w:pPr>
      <w:keepNext/>
      <w:spacing w:before="240" w:after="120"/>
    </w:pPr>
    <w:rPr>
      <w:sz w:val="28"/>
      <w:szCs w:val="28"/>
    </w:rPr>
  </w:style>
  <w:style w:type="paragraph" w:customStyle="1" w:styleId="4">
    <w:name w:val="Standard"/>
    <w:autoRedefine/>
    <w:qFormat/>
    <w:uiPriority w:val="0"/>
    <w:pPr>
      <w:suppressAutoHyphens/>
      <w:autoSpaceDN w:val="0"/>
      <w:spacing w:after="160" w:line="244" w:lineRule="auto"/>
      <w:textAlignment w:val="baseline"/>
    </w:pPr>
    <w:rPr>
      <w:rFonts w:ascii="Calibri" w:hAnsi="Calibri" w:eastAsia="Calibri" w:cs="Calibri"/>
      <w:color w:val="000000"/>
      <w:kern w:val="3"/>
      <w:sz w:val="22"/>
      <w:szCs w:val="22"/>
      <w:lang w:val="pl-PL" w:eastAsia="pl-PL" w:bidi="ar-SA"/>
    </w:rPr>
  </w:style>
  <w:style w:type="paragraph" w:customStyle="1" w:styleId="5">
    <w:name w:val="Text body"/>
    <w:basedOn w:val="4"/>
    <w:autoRedefine/>
    <w:qFormat/>
    <w:uiPriority w:val="0"/>
    <w:pPr>
      <w:spacing w:after="120"/>
    </w:pPr>
  </w:style>
  <w:style w:type="paragraph" w:styleId="8">
    <w:name w:val="Balloon Text"/>
    <w:basedOn w:val="4"/>
    <w:autoRedefine/>
    <w:qFormat/>
    <w:uiPriority w:val="0"/>
    <w:pPr>
      <w:spacing w:after="0" w:line="240" w:lineRule="auto"/>
    </w:pPr>
    <w:rPr>
      <w:sz w:val="18"/>
      <w:szCs w:val="18"/>
    </w:rPr>
  </w:style>
  <w:style w:type="paragraph" w:styleId="9">
    <w:name w:val="Body Text"/>
    <w:basedOn w:val="1"/>
    <w:autoRedefine/>
    <w:qFormat/>
    <w:uiPriority w:val="0"/>
    <w:pPr>
      <w:jc w:val="both"/>
    </w:pPr>
    <w:rPr>
      <w:sz w:val="24"/>
    </w:rPr>
  </w:style>
  <w:style w:type="paragraph" w:styleId="10">
    <w:name w:val="caption"/>
    <w:basedOn w:val="4"/>
    <w:next w:val="1"/>
    <w:autoRedefine/>
    <w:qFormat/>
    <w:uiPriority w:val="0"/>
    <w:pPr>
      <w:suppressLineNumbers/>
      <w:spacing w:before="120" w:after="120"/>
    </w:pPr>
    <w:rPr>
      <w:i/>
      <w:iCs/>
      <w:sz w:val="24"/>
      <w:szCs w:val="24"/>
    </w:rPr>
  </w:style>
  <w:style w:type="character" w:styleId="11">
    <w:name w:val="annotation reference"/>
    <w:basedOn w:val="6"/>
    <w:autoRedefine/>
    <w:semiHidden/>
    <w:unhideWhenUsed/>
    <w:qFormat/>
    <w:uiPriority w:val="99"/>
    <w:rPr>
      <w:sz w:val="16"/>
      <w:szCs w:val="16"/>
    </w:rPr>
  </w:style>
  <w:style w:type="paragraph" w:styleId="12">
    <w:name w:val="annotation text"/>
    <w:basedOn w:val="1"/>
    <w:link w:val="25"/>
    <w:autoRedefine/>
    <w:semiHidden/>
    <w:unhideWhenUsed/>
    <w:qFormat/>
    <w:uiPriority w:val="99"/>
    <w:pPr>
      <w:spacing w:line="240" w:lineRule="auto"/>
    </w:pPr>
    <w:rPr>
      <w:sz w:val="20"/>
      <w:szCs w:val="20"/>
    </w:rPr>
  </w:style>
  <w:style w:type="paragraph" w:styleId="13">
    <w:name w:val="annotation subject"/>
    <w:basedOn w:val="12"/>
    <w:next w:val="12"/>
    <w:link w:val="26"/>
    <w:autoRedefine/>
    <w:semiHidden/>
    <w:unhideWhenUsed/>
    <w:qFormat/>
    <w:uiPriority w:val="99"/>
    <w:rPr>
      <w:b/>
      <w:bCs/>
    </w:rPr>
  </w:style>
  <w:style w:type="paragraph" w:styleId="14">
    <w:name w:val="footer"/>
    <w:basedOn w:val="4"/>
    <w:autoRedefine/>
    <w:qFormat/>
    <w:uiPriority w:val="0"/>
    <w:pPr>
      <w:suppressLineNumbers/>
      <w:tabs>
        <w:tab w:val="center" w:pos="4819"/>
        <w:tab w:val="right" w:pos="9638"/>
      </w:tabs>
    </w:pPr>
  </w:style>
  <w:style w:type="paragraph" w:styleId="15">
    <w:name w:val="header"/>
    <w:basedOn w:val="1"/>
    <w:autoRedefine/>
    <w:qFormat/>
    <w:uiPriority w:val="0"/>
    <w:pPr>
      <w:tabs>
        <w:tab w:val="center" w:pos="4536"/>
        <w:tab w:val="right" w:pos="9072"/>
      </w:tabs>
    </w:pPr>
  </w:style>
  <w:style w:type="paragraph" w:styleId="16">
    <w:name w:val="List"/>
    <w:basedOn w:val="5"/>
    <w:autoRedefine/>
    <w:qFormat/>
    <w:uiPriority w:val="0"/>
  </w:style>
  <w:style w:type="table" w:styleId="17">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Index"/>
    <w:basedOn w:val="4"/>
    <w:autoRedefine/>
    <w:qFormat/>
    <w:uiPriority w:val="0"/>
    <w:pPr>
      <w:suppressLineNumbers/>
    </w:pPr>
  </w:style>
  <w:style w:type="paragraph" w:customStyle="1" w:styleId="19">
    <w:name w:val="Table Contents"/>
    <w:basedOn w:val="4"/>
    <w:autoRedefine/>
    <w:qFormat/>
    <w:uiPriority w:val="0"/>
    <w:pPr>
      <w:widowControl w:val="0"/>
      <w:suppressLineNumbers/>
      <w:spacing w:after="0" w:line="240" w:lineRule="auto"/>
    </w:pPr>
    <w:rPr>
      <w:color w:val="00000A"/>
      <w:sz w:val="24"/>
      <w:szCs w:val="24"/>
      <w:lang w:eastAsia="zh-CN" w:bidi="hi-IN"/>
    </w:rPr>
  </w:style>
  <w:style w:type="paragraph" w:customStyle="1" w:styleId="20">
    <w:name w:val="Default"/>
    <w:autoRedefine/>
    <w:qFormat/>
    <w:uiPriority w:val="0"/>
    <w:pPr>
      <w:suppressAutoHyphens/>
      <w:autoSpaceDN w:val="0"/>
      <w:textAlignment w:val="baseline"/>
    </w:pPr>
    <w:rPr>
      <w:rFonts w:ascii="Calibri" w:hAnsi="Calibri" w:eastAsia="Times New Roman" w:cs="Times New Roman"/>
      <w:color w:val="000000"/>
      <w:kern w:val="3"/>
      <w:sz w:val="24"/>
      <w:szCs w:val="24"/>
      <w:lang w:val="pl-PL" w:eastAsia="pl-PL" w:bidi="ar-SA"/>
    </w:rPr>
  </w:style>
  <w:style w:type="paragraph" w:customStyle="1" w:styleId="21">
    <w:name w:val="Table Heading"/>
    <w:basedOn w:val="19"/>
    <w:autoRedefine/>
    <w:qFormat/>
    <w:uiPriority w:val="0"/>
    <w:pPr>
      <w:jc w:val="center"/>
    </w:pPr>
    <w:rPr>
      <w:b/>
      <w:bCs/>
    </w:rPr>
  </w:style>
  <w:style w:type="character" w:customStyle="1" w:styleId="22">
    <w:name w:val="Nagłówek 1 Znak"/>
    <w:autoRedefine/>
    <w:qFormat/>
    <w:uiPriority w:val="0"/>
    <w:rPr>
      <w:b/>
      <w:color w:val="000000"/>
      <w:sz w:val="22"/>
    </w:rPr>
  </w:style>
  <w:style w:type="character" w:customStyle="1" w:styleId="23">
    <w:name w:val="Tekst dymka Znak"/>
    <w:basedOn w:val="6"/>
    <w:autoRedefine/>
    <w:qFormat/>
    <w:uiPriority w:val="0"/>
    <w:rPr>
      <w:rFonts w:eastAsia="Calibri"/>
      <w:color w:val="000000"/>
      <w:sz w:val="18"/>
      <w:szCs w:val="18"/>
    </w:rPr>
  </w:style>
  <w:style w:type="paragraph" w:customStyle="1" w:styleId="24">
    <w:name w:val="Table Paragraph"/>
    <w:basedOn w:val="1"/>
    <w:autoRedefine/>
    <w:qFormat/>
    <w:uiPriority w:val="1"/>
    <w:pPr>
      <w:ind w:left="108"/>
    </w:pPr>
  </w:style>
  <w:style w:type="character" w:customStyle="1" w:styleId="25">
    <w:name w:val="Tekst komentarza Znak"/>
    <w:basedOn w:val="6"/>
    <w:link w:val="12"/>
    <w:autoRedefine/>
    <w:semiHidden/>
    <w:qFormat/>
    <w:uiPriority w:val="99"/>
    <w:rPr>
      <w:kern w:val="3"/>
    </w:rPr>
  </w:style>
  <w:style w:type="character" w:customStyle="1" w:styleId="26">
    <w:name w:val="Temat komentarza Znak"/>
    <w:basedOn w:val="25"/>
    <w:link w:val="13"/>
    <w:autoRedefine/>
    <w:semiHidden/>
    <w:qFormat/>
    <w:uiPriority w:val="99"/>
    <w:rPr>
      <w:b/>
      <w:bCs/>
      <w:kern w:val="3"/>
    </w:rPr>
  </w:style>
  <w:style w:type="paragraph" w:styleId="27">
    <w:name w:val="List Paragraph"/>
    <w:basedOn w:val="1"/>
    <w:autoRedefine/>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2CC9-5F25-4C8E-88C7-0B2E8A706478}">
  <ds:schemaRefs/>
</ds:datastoreItem>
</file>

<file path=docProps/app.xml><?xml version="1.0" encoding="utf-8"?>
<Properties xmlns="http://schemas.openxmlformats.org/officeDocument/2006/extended-properties" xmlns:vt="http://schemas.openxmlformats.org/officeDocument/2006/docPropsVTypes">
  <Template>Normal</Template>
  <Pages>3</Pages>
  <Words>8825</Words>
  <Characters>52954</Characters>
  <Lines>441</Lines>
  <Paragraphs>123</Paragraphs>
  <TotalTime>2</TotalTime>
  <ScaleCrop>false</ScaleCrop>
  <LinksUpToDate>false</LinksUpToDate>
  <CharactersWithSpaces>61656</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2023-07-26T09:13:00Z</dcterms:created>
  <dc:creator>Zbig_2013</dc:creator>
  <cp:lastModifiedBy>WPS_1704352880</cp:lastModifiedBy>
  <cp:lastPrinted>2023-07-10T09:56:00Z</cp:lastPrinted>
  <dcterms:modified xsi:type="dcterms:W3CDTF">2024-04-23T09:42:08Z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1045-12.2.0.16731</vt:lpwstr>
  </property>
  <property fmtid="{D5CDD505-2E9C-101B-9397-08002B2CF9AE}" pid="9" name="ICV">
    <vt:lpwstr>C4B8C40BA1BA494384A16B320FBE519A</vt:lpwstr>
  </property>
</Properties>
</file>