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71B284FA" w:rsidR="00B05687" w:rsidRPr="004F39D8" w:rsidRDefault="00C00C02" w:rsidP="00B05687">
      <w:pPr>
        <w:spacing w:after="240"/>
        <w:jc w:val="both"/>
        <w:rPr>
          <w:rFonts w:ascii="Tahoma" w:hAnsi="Tahoma" w:cs="Tahoma"/>
          <w:b/>
          <w:bCs/>
          <w:spacing w:val="-2"/>
          <w:sz w:val="22"/>
          <w:szCs w:val="22"/>
        </w:rPr>
      </w:pPr>
      <w:bookmarkStart w:id="0" w:name="_Hlk116366027"/>
      <w:r w:rsidRPr="00C00C02">
        <w:rPr>
          <w:rFonts w:ascii="Tahoma" w:hAnsi="Tahoma" w:cs="Tahoma"/>
          <w:b/>
          <w:bCs/>
          <w:spacing w:val="-2"/>
          <w:sz w:val="22"/>
          <w:szCs w:val="22"/>
        </w:rPr>
        <w:t xml:space="preserve">Budowa sieci wodociągowej w ul. </w:t>
      </w:r>
      <w:r w:rsidR="001917A4">
        <w:rPr>
          <w:rFonts w:ascii="Tahoma" w:hAnsi="Tahoma" w:cs="Tahoma"/>
          <w:b/>
          <w:bCs/>
          <w:spacing w:val="-2"/>
          <w:sz w:val="22"/>
          <w:szCs w:val="22"/>
        </w:rPr>
        <w:t>Piaszczysta - Nędzerzewska</w:t>
      </w:r>
      <w:r w:rsidRPr="00C00C02">
        <w:rPr>
          <w:rFonts w:ascii="Tahoma" w:hAnsi="Tahoma" w:cs="Tahoma"/>
          <w:b/>
          <w:bCs/>
          <w:spacing w:val="-2"/>
          <w:sz w:val="22"/>
          <w:szCs w:val="22"/>
        </w:rPr>
        <w:t xml:space="preserve">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59454743"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E10D75">
              <w:rPr>
                <w:rFonts w:ascii="Tahoma" w:hAnsi="Tahoma" w:cs="Tahoma"/>
                <w:b/>
                <w:sz w:val="20"/>
                <w:szCs w:val="20"/>
              </w:rPr>
              <w:t>6</w:t>
            </w:r>
            <w:r w:rsidR="001917A4">
              <w:rPr>
                <w:rFonts w:ascii="Tahoma" w:hAnsi="Tahoma" w:cs="Tahoma"/>
                <w:b/>
                <w:sz w:val="20"/>
                <w:szCs w:val="20"/>
              </w:rPr>
              <w:t>7</w:t>
            </w:r>
            <w:r>
              <w:rPr>
                <w:rFonts w:ascii="Tahoma" w:hAnsi="Tahoma" w:cs="Tahoma"/>
                <w:b/>
                <w:sz w:val="20"/>
                <w:szCs w:val="20"/>
              </w:rPr>
              <w:t>/2023 (ET/T/</w:t>
            </w:r>
            <w:r w:rsidR="003822B1">
              <w:rPr>
                <w:rFonts w:ascii="Tahoma" w:hAnsi="Tahoma" w:cs="Tahoma"/>
                <w:b/>
                <w:sz w:val="20"/>
                <w:szCs w:val="20"/>
              </w:rPr>
              <w:t>4</w:t>
            </w:r>
            <w:r w:rsidR="001917A4">
              <w:rPr>
                <w:rFonts w:ascii="Tahoma" w:hAnsi="Tahoma" w:cs="Tahoma"/>
                <w:b/>
                <w:sz w:val="20"/>
                <w:szCs w:val="20"/>
              </w:rPr>
              <w:t>6</w:t>
            </w:r>
            <w:r>
              <w:rPr>
                <w:rFonts w:ascii="Tahoma" w:hAnsi="Tahoma" w:cs="Tahoma"/>
                <w:b/>
                <w:sz w:val="20"/>
                <w:szCs w:val="20"/>
              </w:rPr>
              <w:t>/0</w:t>
            </w:r>
            <w:r w:rsidR="003822B1">
              <w:rPr>
                <w:rFonts w:ascii="Tahoma" w:hAnsi="Tahoma" w:cs="Tahoma"/>
                <w:b/>
                <w:sz w:val="20"/>
                <w:szCs w:val="20"/>
              </w:rPr>
              <w:t>9</w:t>
            </w:r>
            <w:r>
              <w:rPr>
                <w:rFonts w:ascii="Tahoma" w:hAnsi="Tahoma" w:cs="Tahoma"/>
                <w:b/>
                <w:sz w:val="20"/>
                <w:szCs w:val="20"/>
              </w:rPr>
              <w:t>/2023)</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77777777" w:rsidR="009C396F" w:rsidRDefault="009C396F" w:rsidP="004E3743">
      <w:pPr>
        <w:ind w:left="567" w:firstLine="567"/>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73D5" w14:textId="77777777" w:rsidR="00BB725C" w:rsidRDefault="00BB725C">
      <w:r>
        <w:separator/>
      </w:r>
    </w:p>
  </w:endnote>
  <w:endnote w:type="continuationSeparator" w:id="0">
    <w:p w14:paraId="21D9A93D" w14:textId="77777777" w:rsidR="00BB725C" w:rsidRDefault="00BB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2B40" w14:textId="77777777" w:rsidR="00BB725C" w:rsidRDefault="00BB725C">
      <w:r>
        <w:separator/>
      </w:r>
    </w:p>
  </w:footnote>
  <w:footnote w:type="continuationSeparator" w:id="0">
    <w:p w14:paraId="6AD8C73D" w14:textId="77777777" w:rsidR="00BB725C" w:rsidRDefault="00BB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756F0"/>
    <w:rsid w:val="001917A4"/>
    <w:rsid w:val="001D5679"/>
    <w:rsid w:val="001F33D8"/>
    <w:rsid w:val="0023646B"/>
    <w:rsid w:val="002A7D00"/>
    <w:rsid w:val="003003C0"/>
    <w:rsid w:val="003822B1"/>
    <w:rsid w:val="003F4287"/>
    <w:rsid w:val="0040515B"/>
    <w:rsid w:val="004168DE"/>
    <w:rsid w:val="00463789"/>
    <w:rsid w:val="00475DBD"/>
    <w:rsid w:val="004E3743"/>
    <w:rsid w:val="00523EB7"/>
    <w:rsid w:val="00581B39"/>
    <w:rsid w:val="005B2E4C"/>
    <w:rsid w:val="005B3EA4"/>
    <w:rsid w:val="0062499C"/>
    <w:rsid w:val="00690988"/>
    <w:rsid w:val="006A2388"/>
    <w:rsid w:val="006C3E4C"/>
    <w:rsid w:val="006C4BD8"/>
    <w:rsid w:val="006D3AC1"/>
    <w:rsid w:val="006E064A"/>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BB725C"/>
    <w:rsid w:val="00C00C02"/>
    <w:rsid w:val="00C201A8"/>
    <w:rsid w:val="00CC43FD"/>
    <w:rsid w:val="00CF0634"/>
    <w:rsid w:val="00D059A1"/>
    <w:rsid w:val="00D128EC"/>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152</TotalTime>
  <Pages>3</Pages>
  <Words>1139</Words>
  <Characters>6836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27</cp:revision>
  <cp:lastPrinted>2023-04-05T11:27:00Z</cp:lastPrinted>
  <dcterms:created xsi:type="dcterms:W3CDTF">2021-03-18T13:01:00Z</dcterms:created>
  <dcterms:modified xsi:type="dcterms:W3CDTF">2023-09-22T07:23:00Z</dcterms:modified>
</cp:coreProperties>
</file>