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95" w:rsidRPr="00B30995" w:rsidRDefault="00B30995" w:rsidP="00B26E91">
      <w:pPr>
        <w:tabs>
          <w:tab w:val="center" w:pos="4535"/>
        </w:tabs>
        <w:spacing w:after="0" w:line="276" w:lineRule="auto"/>
        <w:jc w:val="right"/>
        <w:rPr>
          <w:rFonts w:ascii="Arial" w:eastAsia="Calibri" w:hAnsi="Arial" w:cs="Arial"/>
        </w:rPr>
      </w:pPr>
      <w:bookmarkStart w:id="0" w:name="_GoBack"/>
      <w:r w:rsidRPr="00B30995">
        <w:rPr>
          <w:rFonts w:ascii="Arial" w:eastAsia="Calibri" w:hAnsi="Arial" w:cs="Arial"/>
        </w:rPr>
        <w:t xml:space="preserve">Świnoujście, </w:t>
      </w:r>
      <w:r w:rsidR="00B26E91">
        <w:rPr>
          <w:rFonts w:ascii="Arial" w:eastAsia="Calibri" w:hAnsi="Arial" w:cs="Arial"/>
        </w:rPr>
        <w:t>14</w:t>
      </w:r>
      <w:r w:rsidRPr="00B30995">
        <w:rPr>
          <w:rFonts w:ascii="Arial" w:eastAsia="Calibri" w:hAnsi="Arial" w:cs="Arial"/>
        </w:rPr>
        <w:t xml:space="preserve"> lipca 2022 r.</w:t>
      </w:r>
    </w:p>
    <w:bookmarkEnd w:id="0"/>
    <w:p w:rsidR="00B30995" w:rsidRPr="00B30995" w:rsidRDefault="00B30995" w:rsidP="00E90B3B">
      <w:pPr>
        <w:tabs>
          <w:tab w:val="center" w:pos="4535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tabs>
          <w:tab w:val="center" w:pos="4535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tabs>
          <w:tab w:val="center" w:pos="4535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tabs>
          <w:tab w:val="center" w:pos="4535"/>
        </w:tabs>
        <w:spacing w:after="0" w:line="276" w:lineRule="auto"/>
        <w:jc w:val="both"/>
        <w:rPr>
          <w:rFonts w:ascii="Arial" w:eastAsia="Calibri" w:hAnsi="Arial" w:cs="Arial"/>
        </w:rPr>
      </w:pPr>
      <w:r w:rsidRPr="00B30995">
        <w:rPr>
          <w:rFonts w:ascii="Arial" w:eastAsia="Calibri" w:hAnsi="Arial" w:cs="Arial"/>
        </w:rPr>
        <w:t>Nr postępowania BZP.271.1.31.2022</w:t>
      </w:r>
    </w:p>
    <w:p w:rsidR="00B30995" w:rsidRPr="00B30995" w:rsidRDefault="00B30995" w:rsidP="00E90B3B">
      <w:pPr>
        <w:tabs>
          <w:tab w:val="center" w:pos="4535"/>
        </w:tabs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numPr>
          <w:ilvl w:val="0"/>
          <w:numId w:val="6"/>
        </w:numPr>
        <w:spacing w:after="0" w:line="276" w:lineRule="auto"/>
        <w:ind w:left="4253" w:hanging="284"/>
        <w:jc w:val="both"/>
        <w:rPr>
          <w:rFonts w:ascii="Arial" w:eastAsia="Calibri" w:hAnsi="Arial" w:cs="Arial"/>
          <w:b/>
        </w:rPr>
      </w:pPr>
      <w:r w:rsidRPr="00B30995">
        <w:rPr>
          <w:rFonts w:ascii="Arial" w:eastAsia="Calibri" w:hAnsi="Arial" w:cs="Arial"/>
          <w:b/>
        </w:rPr>
        <w:t>Wykonawcy biorący udział w postępowaniu</w:t>
      </w:r>
    </w:p>
    <w:p w:rsidR="00B30995" w:rsidRPr="00B30995" w:rsidRDefault="00B30995" w:rsidP="00E90B3B">
      <w:pPr>
        <w:numPr>
          <w:ilvl w:val="0"/>
          <w:numId w:val="6"/>
        </w:numPr>
        <w:spacing w:after="0" w:line="276" w:lineRule="auto"/>
        <w:ind w:left="4253" w:hanging="284"/>
        <w:jc w:val="both"/>
        <w:rPr>
          <w:rFonts w:ascii="Arial" w:eastAsia="Calibri" w:hAnsi="Arial" w:cs="Arial"/>
          <w:b/>
        </w:rPr>
      </w:pPr>
      <w:r w:rsidRPr="00B30995">
        <w:rPr>
          <w:rFonts w:ascii="Arial" w:eastAsia="Calibri" w:hAnsi="Arial" w:cs="Arial"/>
          <w:b/>
        </w:rPr>
        <w:t>Strona internetowa Zamawiającego, na której umieszczono ogłoszenie o zamówieniu i udostępniono SWZ</w:t>
      </w: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30995">
        <w:rPr>
          <w:rFonts w:ascii="Arial" w:eastAsia="Times New Roman" w:hAnsi="Arial" w:cs="Arial"/>
          <w:b/>
          <w:bCs/>
          <w:lang w:eastAsia="pl-PL"/>
        </w:rPr>
        <w:t>Dotyczy: postępowania nr BZP.271.1.31.2022 „Budowa systemu zarządzania ruchem</w:t>
      </w:r>
      <w:r w:rsidRPr="00B30995">
        <w:rPr>
          <w:rFonts w:ascii="Arial" w:eastAsia="Times New Roman" w:hAnsi="Arial" w:cs="Arial"/>
          <w:b/>
          <w:bCs/>
          <w:lang w:eastAsia="pl-PL"/>
        </w:rPr>
        <w:br/>
        <w:t>w Świnoujściu”</w:t>
      </w: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30995">
        <w:rPr>
          <w:rFonts w:ascii="Arial" w:eastAsia="Calibri" w:hAnsi="Arial" w:cs="Arial"/>
          <w:b/>
        </w:rPr>
        <w:t>Odpowiedz na pytania wykonawców</w:t>
      </w: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</w:rPr>
      </w:pPr>
    </w:p>
    <w:p w:rsidR="00B30995" w:rsidRPr="00B30995" w:rsidRDefault="00B30995" w:rsidP="00E90B3B">
      <w:pPr>
        <w:spacing w:after="0" w:line="276" w:lineRule="auto"/>
        <w:jc w:val="both"/>
        <w:rPr>
          <w:rFonts w:ascii="Arial" w:eastAsia="Calibri" w:hAnsi="Arial" w:cs="Arial"/>
        </w:rPr>
      </w:pPr>
      <w:r w:rsidRPr="00B30995">
        <w:rPr>
          <w:rFonts w:ascii="Arial" w:eastAsia="Calibri" w:hAnsi="Arial" w:cs="Arial"/>
        </w:rPr>
        <w:t>Zamawiający na mocy przysługujących mu, w</w:t>
      </w:r>
      <w:r w:rsidR="00F855DD">
        <w:rPr>
          <w:rFonts w:ascii="Arial" w:eastAsia="Calibri" w:hAnsi="Arial" w:cs="Arial"/>
        </w:rPr>
        <w:t xml:space="preserve"> świetle przepisu art. 135 ust. </w:t>
      </w:r>
      <w:r w:rsidRPr="00B30995">
        <w:rPr>
          <w:rFonts w:ascii="Arial" w:eastAsia="Calibri" w:hAnsi="Arial" w:cs="Arial"/>
        </w:rPr>
        <w:t>2, 3, 6</w:t>
      </w:r>
      <w:r w:rsidR="00F855DD">
        <w:rPr>
          <w:rFonts w:ascii="Arial" w:eastAsia="Calibri" w:hAnsi="Arial" w:cs="Arial"/>
        </w:rPr>
        <w:t xml:space="preserve"> oraz art. 137 ust. 1, 2 i 4 ustawy </w:t>
      </w:r>
      <w:r w:rsidRPr="00B30995">
        <w:rPr>
          <w:rFonts w:ascii="Arial" w:eastAsia="Calibri" w:hAnsi="Arial" w:cs="Arial"/>
        </w:rPr>
        <w:t>z dnia 11 września 2019 r. Pra</w:t>
      </w:r>
      <w:r w:rsidR="00F855DD">
        <w:rPr>
          <w:rFonts w:ascii="Arial" w:eastAsia="Calibri" w:hAnsi="Arial" w:cs="Arial"/>
        </w:rPr>
        <w:t>wo zamówień publicznych (Dz. U.</w:t>
      </w:r>
      <w:r w:rsidR="00F855DD">
        <w:rPr>
          <w:rFonts w:ascii="Arial" w:eastAsia="Calibri" w:hAnsi="Arial" w:cs="Arial"/>
        </w:rPr>
        <w:br/>
      </w:r>
      <w:r w:rsidRPr="00B30995">
        <w:rPr>
          <w:rFonts w:ascii="Arial" w:eastAsia="Calibri" w:hAnsi="Arial" w:cs="Arial"/>
        </w:rPr>
        <w:t>z 2021 r., poz. 1129 ze zm.), uprawnień, udziela wyja</w:t>
      </w:r>
      <w:r w:rsidR="00F855DD">
        <w:rPr>
          <w:rFonts w:ascii="Arial" w:eastAsia="Calibri" w:hAnsi="Arial" w:cs="Arial"/>
        </w:rPr>
        <w:t>śnień przekazując treść zapytań</w:t>
      </w:r>
      <w:r w:rsidR="00F855DD">
        <w:rPr>
          <w:rFonts w:ascii="Arial" w:eastAsia="Calibri" w:hAnsi="Arial" w:cs="Arial"/>
        </w:rPr>
        <w:br/>
      </w:r>
      <w:r w:rsidRPr="00B30995">
        <w:rPr>
          <w:rFonts w:ascii="Arial" w:eastAsia="Calibri" w:hAnsi="Arial" w:cs="Arial"/>
        </w:rPr>
        <w:t>i odpowiedzi Zamawiającego wszystkim wykonawcom</w:t>
      </w:r>
      <w:r w:rsidR="00F855DD">
        <w:rPr>
          <w:rFonts w:ascii="Arial" w:eastAsia="Calibri" w:hAnsi="Arial" w:cs="Arial"/>
        </w:rPr>
        <w:t>, biorącym udział w postępowaniu</w:t>
      </w:r>
      <w:r w:rsidR="00F855DD">
        <w:rPr>
          <w:rFonts w:ascii="Arial" w:eastAsia="Calibri" w:hAnsi="Arial" w:cs="Arial"/>
        </w:rPr>
        <w:br/>
      </w:r>
      <w:r w:rsidRPr="00B30995">
        <w:rPr>
          <w:rFonts w:ascii="Arial" w:eastAsia="Calibri" w:hAnsi="Arial" w:cs="Arial"/>
        </w:rPr>
        <w:t>i publikując je również na stronie:</w:t>
      </w:r>
    </w:p>
    <w:p w:rsidR="00B30995" w:rsidRPr="009523F2" w:rsidRDefault="00B30995" w:rsidP="00E90B3B">
      <w:pPr>
        <w:spacing w:after="0" w:line="276" w:lineRule="auto"/>
        <w:jc w:val="both"/>
        <w:rPr>
          <w:rFonts w:ascii="Arial" w:hAnsi="Arial" w:cs="Arial"/>
        </w:rPr>
      </w:pPr>
    </w:p>
    <w:p w:rsidR="00B430C9" w:rsidRPr="009523F2" w:rsidRDefault="007F1A7F" w:rsidP="00E90B3B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Pytanie nr</w:t>
      </w:r>
      <w:r w:rsidR="001C5370">
        <w:rPr>
          <w:rFonts w:ascii="Arial" w:hAnsi="Arial" w:cs="Arial"/>
          <w:b/>
          <w:highlight w:val="yellow"/>
        </w:rPr>
        <w:t xml:space="preserve"> 1</w:t>
      </w:r>
      <w:r>
        <w:rPr>
          <w:rFonts w:ascii="Arial" w:hAnsi="Arial" w:cs="Arial"/>
          <w:b/>
          <w:highlight w:val="yellow"/>
        </w:rPr>
        <w:t xml:space="preserve"> </w:t>
      </w:r>
    </w:p>
    <w:p w:rsidR="00E90B3B" w:rsidRDefault="00B430C9" w:rsidP="00E90B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523F2">
        <w:rPr>
          <w:rFonts w:ascii="Arial" w:eastAsia="Times New Roman" w:hAnsi="Arial" w:cs="Arial"/>
          <w:lang w:eastAsia="pl-PL"/>
        </w:rPr>
        <w:t>Dotyczy SWZ Rozdział VI. pkt 1.2.4.01</w:t>
      </w:r>
      <w:r w:rsidR="00E90B3B">
        <w:rPr>
          <w:rFonts w:ascii="Arial" w:eastAsia="Times New Roman" w:hAnsi="Arial" w:cs="Arial"/>
          <w:lang w:eastAsia="pl-PL"/>
        </w:rPr>
        <w:t xml:space="preserve"> </w:t>
      </w:r>
      <w:r w:rsidRPr="009523F2">
        <w:rPr>
          <w:rFonts w:ascii="Arial" w:eastAsia="Times New Roman" w:hAnsi="Arial" w:cs="Arial"/>
          <w:lang w:eastAsia="pl-PL"/>
        </w:rPr>
        <w:t>W związku z tym, że w przypadku nadawania priorytetu w dużej mierze chodzi o właściwą detekcję pojazdu i w oparciu o nią odpowiednie wysterowania sygnalizacji świetlnej (niezależnie od tego czy pojazdem uprzywilejowanym jest autobus czy pojazd specjalny) prosimy o dopuszczenie doświadczenie w realizacji kontraktów ITS również uwzględniających priorytet dla pojazdów uprzywilejowanych lub specjalnych:</w:t>
      </w:r>
      <w:r w:rsidR="00E90B3B">
        <w:rPr>
          <w:rFonts w:ascii="Arial" w:eastAsia="Times New Roman" w:hAnsi="Arial" w:cs="Arial"/>
          <w:lang w:eastAsia="pl-PL"/>
        </w:rPr>
        <w:t> </w:t>
      </w:r>
    </w:p>
    <w:p w:rsidR="00B30995" w:rsidRPr="009523F2" w:rsidRDefault="00B430C9" w:rsidP="00E90B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523F2">
        <w:rPr>
          <w:rFonts w:ascii="Arial" w:eastAsia="Times New Roman" w:hAnsi="Arial" w:cs="Arial"/>
          <w:lang w:eastAsia="pl-PL"/>
        </w:rPr>
        <w:t>Prosimy o zmianę obecnego brzmienia warunku jak poniżej:</w:t>
      </w:r>
      <w:r w:rsidR="00E90B3B">
        <w:rPr>
          <w:rFonts w:ascii="Arial" w:eastAsia="Times New Roman" w:hAnsi="Arial" w:cs="Arial"/>
          <w:lang w:eastAsia="pl-PL"/>
        </w:rPr>
        <w:t xml:space="preserve"> </w:t>
      </w:r>
      <w:r w:rsidRPr="009523F2">
        <w:rPr>
          <w:rFonts w:ascii="Arial" w:eastAsia="Times New Roman" w:hAnsi="Arial" w:cs="Arial"/>
          <w:lang w:eastAsia="pl-PL"/>
        </w:rPr>
        <w:t>Zamawiający uzna, że</w:t>
      </w:r>
      <w:r w:rsidR="00B45B1E">
        <w:rPr>
          <w:rFonts w:ascii="Arial" w:eastAsia="Times New Roman" w:hAnsi="Arial" w:cs="Arial"/>
          <w:lang w:eastAsia="pl-PL"/>
        </w:rPr>
        <w:t> </w:t>
      </w:r>
      <w:r w:rsidRPr="009523F2">
        <w:rPr>
          <w:rFonts w:ascii="Arial" w:eastAsia="Times New Roman" w:hAnsi="Arial" w:cs="Arial"/>
          <w:lang w:eastAsia="pl-PL"/>
        </w:rPr>
        <w:t>wykonawca posiada wymagane zdolności techniczne i/lub zawodowe zapewniające należyte wykonanie zamówienia, jeżeli wykonawca wykaże, że w okresie ostatnich dziesięciu latach przed upływem terminu składania ofert, a jeżeli okres prowadzenia działalności jest krótszy – w tym okresie, wykonał (zakończył) w sposób należyty oraz zgodnie z zasadami sztuki inżynierskiej co najmniej jedno zamówienie obejmujące zaprojektowanie, dostawę i wdrożenie oraz uruchomienie do działania</w:t>
      </w:r>
      <w:r w:rsidR="00E90B3B">
        <w:rPr>
          <w:rFonts w:ascii="Arial" w:eastAsia="Times New Roman" w:hAnsi="Arial" w:cs="Arial"/>
          <w:lang w:eastAsia="pl-PL"/>
        </w:rPr>
        <w:t xml:space="preserve"> </w:t>
      </w:r>
      <w:r w:rsidRPr="009523F2">
        <w:rPr>
          <w:rFonts w:ascii="Arial" w:eastAsia="Times New Roman" w:hAnsi="Arial" w:cs="Arial"/>
          <w:lang w:eastAsia="pl-PL"/>
        </w:rPr>
        <w:t xml:space="preserve">w warunkach rzeczywistego ruchu drogowego Systemu Zarządzania Ruchem (SZR) lub Systemu Sterowania Ruchem (SSR) Drogowym, który obejmował co najmniej następujące </w:t>
      </w:r>
      <w:r w:rsidR="00B30995" w:rsidRPr="009523F2">
        <w:rPr>
          <w:rFonts w:ascii="Arial" w:eastAsia="Times New Roman" w:hAnsi="Arial" w:cs="Arial"/>
          <w:lang w:eastAsia="pl-PL"/>
        </w:rPr>
        <w:t>podsystemy i funkcjonalności:</w:t>
      </w:r>
    </w:p>
    <w:p w:rsidR="00B430C9" w:rsidRPr="009523F2" w:rsidRDefault="00B430C9" w:rsidP="00E90B3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523F2">
        <w:rPr>
          <w:rFonts w:ascii="Arial" w:eastAsia="Times New Roman" w:hAnsi="Arial" w:cs="Arial"/>
          <w:lang w:eastAsia="pl-PL"/>
        </w:rPr>
        <w:t xml:space="preserve">System Sterowania Ruchem (SSR) z funkcją optymalizacji parametrów sterowania drogową sygnalizacją świetlną zarówno dla poszczególnych skrzyżowań, ciągów komunikacyjnych, obszarach miejskich definiowanych do tego celu oraz z funkcją przydzielania i realizacji priorytetu dla wybranych uczestników ruchu, np. pojazdów komunikacji zbiorowej. W ramach SSR, który jednocześnie realizował nadzór, </w:t>
      </w:r>
      <w:r w:rsidR="00F855DD">
        <w:rPr>
          <w:rFonts w:ascii="Arial" w:eastAsia="Times New Roman" w:hAnsi="Arial" w:cs="Arial"/>
          <w:lang w:eastAsia="pl-PL"/>
        </w:rPr>
        <w:t xml:space="preserve">zarządzanie </w:t>
      </w:r>
      <w:r w:rsidRPr="009523F2">
        <w:rPr>
          <w:rFonts w:ascii="Arial" w:eastAsia="Times New Roman" w:hAnsi="Arial" w:cs="Arial"/>
          <w:lang w:eastAsia="pl-PL"/>
        </w:rPr>
        <w:t xml:space="preserve">optymalizację obszarem wdrożenia danej inwestycji (wyznaczonego obszaru i/lub koordynowanych ciągów komunikacyjnych) dla minimum 10 skrzyżowań z sygnalizacją świetlną i uruchomioną funkcją priorytetu dla co najmniej </w:t>
      </w:r>
      <w:r w:rsidRPr="009523F2">
        <w:rPr>
          <w:rFonts w:ascii="Arial" w:eastAsia="Times New Roman" w:hAnsi="Arial" w:cs="Arial"/>
          <w:lang w:eastAsia="pl-PL"/>
        </w:rPr>
        <w:lastRenderedPageBreak/>
        <w:t>20</w:t>
      </w:r>
      <w:r w:rsidR="00B45B1E">
        <w:rPr>
          <w:rFonts w:ascii="Arial" w:eastAsia="Times New Roman" w:hAnsi="Arial" w:cs="Arial"/>
          <w:lang w:eastAsia="pl-PL"/>
        </w:rPr>
        <w:t> </w:t>
      </w:r>
      <w:r w:rsidRPr="009523F2">
        <w:rPr>
          <w:rFonts w:ascii="Arial" w:eastAsia="Times New Roman" w:hAnsi="Arial" w:cs="Arial"/>
          <w:lang w:eastAsia="pl-PL"/>
        </w:rPr>
        <w:t>wyznaczonych pojazdów komunikacji zbiorowej (np. autobusy lub trolejbusy lub</w:t>
      </w:r>
      <w:r w:rsidR="00B45B1E">
        <w:rPr>
          <w:rFonts w:ascii="Arial" w:eastAsia="Times New Roman" w:hAnsi="Arial" w:cs="Arial"/>
          <w:lang w:eastAsia="pl-PL"/>
        </w:rPr>
        <w:t> </w:t>
      </w:r>
      <w:r w:rsidRPr="009523F2">
        <w:rPr>
          <w:rFonts w:ascii="Arial" w:eastAsia="Times New Roman" w:hAnsi="Arial" w:cs="Arial"/>
          <w:lang w:eastAsia="pl-PL"/>
        </w:rPr>
        <w:t>tramwaje) lub pojazdów specjalnych;</w:t>
      </w:r>
    </w:p>
    <w:p w:rsidR="00B430C9" w:rsidRPr="009523F2" w:rsidRDefault="00B430C9" w:rsidP="00E90B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B430C9" w:rsidRPr="009523F2" w:rsidRDefault="00B430C9" w:rsidP="00E90B3B">
      <w:pPr>
        <w:spacing w:after="0" w:line="276" w:lineRule="auto"/>
        <w:jc w:val="both"/>
        <w:rPr>
          <w:rFonts w:ascii="Arial" w:hAnsi="Arial" w:cs="Arial"/>
          <w:b/>
        </w:rPr>
      </w:pPr>
      <w:r w:rsidRPr="009523F2">
        <w:rPr>
          <w:rFonts w:ascii="Arial" w:hAnsi="Arial" w:cs="Arial"/>
          <w:b/>
          <w:highlight w:val="yellow"/>
        </w:rPr>
        <w:t>Odpowied</w:t>
      </w:r>
      <w:r w:rsidR="00B30995" w:rsidRPr="009523F2">
        <w:rPr>
          <w:rFonts w:ascii="Arial" w:hAnsi="Arial" w:cs="Arial"/>
          <w:b/>
          <w:highlight w:val="yellow"/>
        </w:rPr>
        <w:t>ź</w:t>
      </w:r>
      <w:r w:rsidRPr="009523F2">
        <w:rPr>
          <w:rFonts w:ascii="Arial" w:hAnsi="Arial" w:cs="Arial"/>
          <w:b/>
          <w:highlight w:val="yellow"/>
        </w:rPr>
        <w:t>:</w:t>
      </w:r>
    </w:p>
    <w:p w:rsidR="00B430C9" w:rsidRPr="009523F2" w:rsidRDefault="00B430C9" w:rsidP="00E90B3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9523F2">
        <w:rPr>
          <w:rFonts w:ascii="Arial" w:eastAsia="Times New Roman" w:hAnsi="Arial" w:cs="Arial"/>
          <w:i/>
          <w:iCs/>
          <w:lang w:eastAsia="pl-PL"/>
        </w:rPr>
        <w:t>Zamawiający przychyla się do zaproponowanej treści pytającego i zmienia zapis warunku.</w:t>
      </w:r>
    </w:p>
    <w:p w:rsidR="00B30995" w:rsidRPr="00F855DD" w:rsidRDefault="00B430C9" w:rsidP="00E90B3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 w:rsidRPr="00F855DD">
        <w:rPr>
          <w:rFonts w:ascii="Arial" w:hAnsi="Arial" w:cs="Arial"/>
          <w:b/>
        </w:rPr>
        <w:t>było:</w:t>
      </w:r>
    </w:p>
    <w:p w:rsidR="00B430C9" w:rsidRPr="009523F2" w:rsidRDefault="00B30995" w:rsidP="00E90B3B">
      <w:pPr>
        <w:pStyle w:val="Akapitzlist"/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„</w:t>
      </w:r>
      <w:r w:rsidR="00EC31A1" w:rsidRPr="009523F2">
        <w:rPr>
          <w:rFonts w:ascii="Arial" w:eastAsia="Times New Roman" w:hAnsi="Arial" w:cs="Arial"/>
          <w:i/>
          <w:lang w:eastAsia="pl-PL"/>
        </w:rPr>
        <w:t>Zamawiający uzna, że wykonawca posiada wymagane zdolności techniczne i/lub zawodowe zapewniające należyte wykonanie zamówienia, jeżeli wykonawca wykaże, że w okresie ostatnich dziesięciu latach przed upływem terminu składania ofert, a jeżeli okres prowadzenia działalności jest krótszy – w tym okresie, wykonał (zakończył) w</w:t>
      </w:r>
      <w:r w:rsidR="00B45B1E">
        <w:rPr>
          <w:rFonts w:ascii="Arial" w:eastAsia="Times New Roman" w:hAnsi="Arial" w:cs="Arial"/>
          <w:i/>
          <w:lang w:eastAsia="pl-PL"/>
        </w:rPr>
        <w:t> </w:t>
      </w:r>
      <w:r w:rsidR="00EC31A1" w:rsidRPr="009523F2">
        <w:rPr>
          <w:rFonts w:ascii="Arial" w:eastAsia="Times New Roman" w:hAnsi="Arial" w:cs="Arial"/>
          <w:i/>
          <w:lang w:eastAsia="pl-PL"/>
        </w:rPr>
        <w:t>sposób należyty oraz zgodnie z zasadami sztuki inżynierskiej co najmniej jedno zamówienie obejmujące zaprojektowanie, dostawę i wdrożenie oraz uruchomienie do działania w warunkach rzeczywistego ruchu drogowego Systemu Zarządzania Ruchem (SZR) lub Systemu Sterowania Ruchem (SSR) Drogowym, który obejmował co najmniej następujące podsystemy i funkcjonalności:</w:t>
      </w:r>
    </w:p>
    <w:p w:rsidR="00EC31A1" w:rsidRPr="009523F2" w:rsidRDefault="00EC31A1" w:rsidP="00E90B3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System Sterowania Ruchem (SSR) z funkcją optymalizacji parametrów sterowania drogową sygnalizacją świetlną zarówno dla poszczególnych skrzyżowań, ciągów komunikacyjnych, obszarach miejskich definiowanych do</w:t>
      </w:r>
      <w:r w:rsidR="00B45B1E">
        <w:rPr>
          <w:rFonts w:ascii="Arial" w:hAnsi="Arial" w:cs="Arial"/>
          <w:i/>
        </w:rPr>
        <w:t> </w:t>
      </w:r>
      <w:r w:rsidRPr="009523F2">
        <w:rPr>
          <w:rFonts w:ascii="Arial" w:hAnsi="Arial" w:cs="Arial"/>
          <w:i/>
        </w:rPr>
        <w:t>tego celu oraz z funkcją przydzielania i realizacji priorytetu dla wybranych uczestników ruchu, np. pojazdów komunikacji zbiorowej. W ramach SSR, który jednocześnie realizował nadzór, zarządzanie i optymalizację obszarem wdrożenia danej inwestycji (wyznaczonego obszaru i/lub koordynowanych ciągów komunikacyjnych) dla minimum 10 skrzyżowań z sygnalizacją świetlną i uruchomioną funkcją priorytetu dla co najmniej 20 wyznaczonych pojazdów komunikacji zbiorowej (np. autobusy lub trolejbusy lub tramwaje);</w:t>
      </w:r>
    </w:p>
    <w:p w:rsidR="00EC31A1" w:rsidRPr="009523F2" w:rsidRDefault="00EC31A1" w:rsidP="00E90B3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(…)</w:t>
      </w:r>
      <w:r w:rsidR="00B30995" w:rsidRPr="009523F2">
        <w:rPr>
          <w:rFonts w:ascii="Arial" w:hAnsi="Arial" w:cs="Arial"/>
          <w:i/>
        </w:rPr>
        <w:t>”</w:t>
      </w:r>
    </w:p>
    <w:p w:rsidR="00B30995" w:rsidRPr="00F855DD" w:rsidRDefault="00B30995" w:rsidP="00E90B3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</w:rPr>
      </w:pPr>
      <w:r w:rsidRPr="00F855DD">
        <w:rPr>
          <w:rFonts w:ascii="Arial" w:hAnsi="Arial" w:cs="Arial"/>
          <w:b/>
        </w:rPr>
        <w:t>powinno być:</w:t>
      </w:r>
    </w:p>
    <w:p w:rsidR="00EC31A1" w:rsidRPr="009523F2" w:rsidRDefault="00B30995" w:rsidP="00E90B3B">
      <w:pPr>
        <w:pStyle w:val="Akapitzlist"/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„</w:t>
      </w:r>
      <w:r w:rsidR="00B430C9" w:rsidRPr="009523F2">
        <w:rPr>
          <w:rFonts w:ascii="Arial" w:eastAsia="Times New Roman" w:hAnsi="Arial" w:cs="Arial"/>
          <w:i/>
          <w:lang w:eastAsia="pl-PL"/>
        </w:rPr>
        <w:t>Zamawiający uzna, że wykonawca posiada wymagane zdolności techniczne i/lub zawodowe zapewniające należyte wykonanie zamówienia, jeżeli wykonawca wykaże, że w okresie ostatnich dziesięciu latach przed upływem terminu składania ofert, a jeżeli okres prowadzenia działalności jest krótszy – w tym okresie, wykonał (zakończył) w</w:t>
      </w:r>
      <w:r w:rsidR="00B45B1E">
        <w:rPr>
          <w:rFonts w:ascii="Arial" w:eastAsia="Times New Roman" w:hAnsi="Arial" w:cs="Arial"/>
          <w:i/>
          <w:lang w:eastAsia="pl-PL"/>
        </w:rPr>
        <w:t> </w:t>
      </w:r>
      <w:r w:rsidR="00B430C9" w:rsidRPr="009523F2">
        <w:rPr>
          <w:rFonts w:ascii="Arial" w:eastAsia="Times New Roman" w:hAnsi="Arial" w:cs="Arial"/>
          <w:i/>
          <w:lang w:eastAsia="pl-PL"/>
        </w:rPr>
        <w:t>sposób należyty oraz zgodnie z zasadami sztuki inżynierskiej co najmniej jedno zamówienie obejmujące zaprojektowanie, dostawę i wdrożenie</w:t>
      </w:r>
      <w:r w:rsidR="00EC31A1" w:rsidRPr="009523F2">
        <w:rPr>
          <w:rFonts w:ascii="Arial" w:eastAsia="Times New Roman" w:hAnsi="Arial" w:cs="Arial"/>
          <w:i/>
          <w:lang w:eastAsia="pl-PL"/>
        </w:rPr>
        <w:t xml:space="preserve"> oraz uruchomienie do działania </w:t>
      </w:r>
      <w:r w:rsidR="00B430C9" w:rsidRPr="009523F2">
        <w:rPr>
          <w:rFonts w:ascii="Arial" w:eastAsia="Times New Roman" w:hAnsi="Arial" w:cs="Arial"/>
          <w:i/>
          <w:lang w:eastAsia="pl-PL"/>
        </w:rPr>
        <w:t>w warunkach rzeczywistego ruchu drogowego Systemu Zarządzania Ruchem (SZR) lub Systemu Sterowania Ruchem (SSR) Drogowym, który obejmował co najmniej następujące podsystemy i funkcjonalności:</w:t>
      </w:r>
    </w:p>
    <w:p w:rsidR="00B430C9" w:rsidRPr="009523F2" w:rsidRDefault="00B430C9" w:rsidP="00E90B3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eastAsia="Times New Roman" w:hAnsi="Arial" w:cs="Arial"/>
          <w:i/>
          <w:lang w:eastAsia="pl-PL"/>
        </w:rPr>
        <w:t>System Sterowania Ruchem (SSR) z funkcją optymalizacji parametrów sterowania drogową sygnalizacją świetlną dla poszczególnych skrzyżowań, ciągów komunikacyjnych</w:t>
      </w:r>
      <w:r w:rsidR="001C5370">
        <w:rPr>
          <w:rFonts w:ascii="Arial" w:eastAsia="Times New Roman" w:hAnsi="Arial" w:cs="Arial"/>
          <w:i/>
          <w:lang w:eastAsia="pl-PL"/>
        </w:rPr>
        <w:t xml:space="preserve"> </w:t>
      </w:r>
      <w:r w:rsidR="001C5370">
        <w:rPr>
          <w:rFonts w:ascii="Arial" w:eastAsia="Times New Roman" w:hAnsi="Arial" w:cs="Arial"/>
          <w:i/>
          <w:color w:val="00B050"/>
          <w:lang w:eastAsia="pl-PL"/>
        </w:rPr>
        <w:t>lub</w:t>
      </w:r>
      <w:r w:rsidRPr="009523F2">
        <w:rPr>
          <w:rFonts w:ascii="Arial" w:eastAsia="Times New Roman" w:hAnsi="Arial" w:cs="Arial"/>
          <w:i/>
          <w:lang w:eastAsia="pl-PL"/>
        </w:rPr>
        <w:t xml:space="preserve"> obszar</w:t>
      </w:r>
      <w:r w:rsidR="001C5370" w:rsidRPr="001C5370">
        <w:rPr>
          <w:rFonts w:ascii="Arial" w:eastAsia="Times New Roman" w:hAnsi="Arial" w:cs="Arial"/>
          <w:i/>
          <w:color w:val="00B050"/>
          <w:lang w:eastAsia="pl-PL"/>
        </w:rPr>
        <w:t>ów</w:t>
      </w:r>
      <w:r w:rsidRPr="009523F2">
        <w:rPr>
          <w:rFonts w:ascii="Arial" w:eastAsia="Times New Roman" w:hAnsi="Arial" w:cs="Arial"/>
          <w:i/>
          <w:lang w:eastAsia="pl-PL"/>
        </w:rPr>
        <w:t xml:space="preserve"> miejskich oraz z funkcją przydzielania i</w:t>
      </w:r>
      <w:r w:rsidR="00B45B1E">
        <w:rPr>
          <w:rFonts w:ascii="Arial" w:eastAsia="Times New Roman" w:hAnsi="Arial" w:cs="Arial"/>
          <w:i/>
          <w:lang w:eastAsia="pl-PL"/>
        </w:rPr>
        <w:t> </w:t>
      </w:r>
      <w:r w:rsidRPr="009523F2">
        <w:rPr>
          <w:rFonts w:ascii="Arial" w:eastAsia="Times New Roman" w:hAnsi="Arial" w:cs="Arial"/>
          <w:i/>
          <w:lang w:eastAsia="pl-PL"/>
        </w:rPr>
        <w:t xml:space="preserve">realizacji priorytetu dla wybranych uczestników ruchu, np. pojazdów komunikacji zbiorowej. W ramach SSR, który jednocześnie realizował nadzór, zarządzanie </w:t>
      </w:r>
      <w:r w:rsidRPr="009523F2">
        <w:rPr>
          <w:rFonts w:ascii="Arial" w:eastAsia="Times New Roman" w:hAnsi="Arial" w:cs="Arial"/>
          <w:i/>
          <w:lang w:eastAsia="pl-PL"/>
        </w:rPr>
        <w:br/>
        <w:t xml:space="preserve"> optymalizację obszarem wdrożenia danej inwestycji (wyznaczonego obszaru i/lub koordynowanych ciągów komunikacyjnych) dla minimum 10 skrzyżowań z sygnalizacją świetlną i uruchomioną funkcją priorytetu dla co najmniej 20 wyznaczonych pojazdów komunikacji zbiorowej (np. autobusy lub trolejbusy lub tramwaje) lub </w:t>
      </w:r>
      <w:r w:rsidRPr="001C5370">
        <w:rPr>
          <w:rFonts w:ascii="Arial" w:eastAsia="Times New Roman" w:hAnsi="Arial" w:cs="Arial"/>
          <w:i/>
          <w:color w:val="00B050"/>
          <w:lang w:eastAsia="pl-PL"/>
        </w:rPr>
        <w:t>pojazdów specjalnych</w:t>
      </w:r>
      <w:r w:rsidRPr="009523F2">
        <w:rPr>
          <w:rFonts w:ascii="Arial" w:eastAsia="Times New Roman" w:hAnsi="Arial" w:cs="Arial"/>
          <w:i/>
          <w:lang w:eastAsia="pl-PL"/>
        </w:rPr>
        <w:t>;</w:t>
      </w:r>
    </w:p>
    <w:p w:rsidR="00EC31A1" w:rsidRPr="009523F2" w:rsidRDefault="00EC31A1" w:rsidP="00E90B3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eastAsia="Times New Roman" w:hAnsi="Arial" w:cs="Arial"/>
          <w:i/>
          <w:lang w:eastAsia="pl-PL"/>
        </w:rPr>
        <w:t>(…).</w:t>
      </w:r>
      <w:r w:rsidR="00B30995" w:rsidRPr="009523F2">
        <w:rPr>
          <w:rFonts w:ascii="Arial" w:eastAsia="Times New Roman" w:hAnsi="Arial" w:cs="Arial"/>
          <w:i/>
          <w:lang w:eastAsia="pl-PL"/>
        </w:rPr>
        <w:t>”</w:t>
      </w:r>
    </w:p>
    <w:p w:rsidR="009523F2" w:rsidRDefault="009523F2" w:rsidP="00E90B3B">
      <w:pPr>
        <w:spacing w:after="0" w:line="276" w:lineRule="auto"/>
        <w:jc w:val="both"/>
        <w:rPr>
          <w:rFonts w:ascii="Arial" w:hAnsi="Arial" w:cs="Arial"/>
        </w:rPr>
      </w:pPr>
    </w:p>
    <w:p w:rsidR="00F855DD" w:rsidRDefault="00F855DD" w:rsidP="00E90B3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Mając na względzie powyższe, odpowiednio zmienia się </w:t>
      </w:r>
      <w:r w:rsidR="00E90B3B">
        <w:rPr>
          <w:rFonts w:ascii="Arial" w:hAnsi="Arial" w:cs="Arial"/>
        </w:rPr>
        <w:t xml:space="preserve">postanowienia </w:t>
      </w:r>
      <w:r>
        <w:rPr>
          <w:rFonts w:ascii="Arial" w:hAnsi="Arial" w:cs="Arial"/>
        </w:rPr>
        <w:t>Rozdział</w:t>
      </w:r>
      <w:r w:rsidR="00E90B3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VI</w:t>
      </w:r>
      <w:r w:rsidR="00E90B3B">
        <w:rPr>
          <w:rFonts w:ascii="Arial" w:hAnsi="Arial" w:cs="Arial"/>
        </w:rPr>
        <w:t xml:space="preserve"> pkt 1 </w:t>
      </w:r>
      <w:proofErr w:type="spellStart"/>
      <w:r w:rsidR="00E90B3B">
        <w:rPr>
          <w:rFonts w:ascii="Arial" w:hAnsi="Arial" w:cs="Arial"/>
        </w:rPr>
        <w:t>ppkt</w:t>
      </w:r>
      <w:proofErr w:type="spellEnd"/>
      <w:r w:rsidR="00E90B3B">
        <w:rPr>
          <w:rFonts w:ascii="Arial" w:hAnsi="Arial" w:cs="Arial"/>
        </w:rPr>
        <w:t xml:space="preserve"> 1.2.4.01</w:t>
      </w:r>
      <w:r>
        <w:rPr>
          <w:rFonts w:ascii="Arial" w:hAnsi="Arial" w:cs="Arial"/>
        </w:rPr>
        <w:t>.</w:t>
      </w:r>
    </w:p>
    <w:p w:rsidR="00F855DD" w:rsidRDefault="00F855DD" w:rsidP="00E90B3B">
      <w:pPr>
        <w:spacing w:after="0" w:line="276" w:lineRule="auto"/>
        <w:jc w:val="both"/>
        <w:rPr>
          <w:rFonts w:ascii="Arial" w:hAnsi="Arial" w:cs="Arial"/>
        </w:rPr>
      </w:pPr>
    </w:p>
    <w:p w:rsidR="00F855DD" w:rsidRPr="00F855DD" w:rsidRDefault="00F855DD" w:rsidP="00E90B3B">
      <w:pPr>
        <w:spacing w:after="0" w:line="276" w:lineRule="auto"/>
        <w:jc w:val="both"/>
        <w:rPr>
          <w:rFonts w:ascii="Arial" w:hAnsi="Arial" w:cs="Arial"/>
        </w:rPr>
      </w:pPr>
    </w:p>
    <w:p w:rsidR="00E90B3B" w:rsidRDefault="009523F2" w:rsidP="00E90B3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523F2">
        <w:rPr>
          <w:rFonts w:ascii="Arial" w:eastAsia="Times New Roman" w:hAnsi="Arial" w:cs="Arial"/>
          <w:b/>
          <w:bCs/>
          <w:highlight w:val="yellow"/>
          <w:lang w:eastAsia="pl-PL"/>
        </w:rPr>
        <w:t>Pytanie nr</w:t>
      </w:r>
      <w:r w:rsidR="001C5370">
        <w:rPr>
          <w:rFonts w:ascii="Arial" w:eastAsia="Times New Roman" w:hAnsi="Arial" w:cs="Arial"/>
          <w:b/>
          <w:bCs/>
          <w:lang w:eastAsia="pl-PL"/>
        </w:rPr>
        <w:t xml:space="preserve"> 2</w:t>
      </w:r>
    </w:p>
    <w:p w:rsidR="00B430C9" w:rsidRPr="009523F2" w:rsidRDefault="00B430C9" w:rsidP="00E90B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523F2">
        <w:rPr>
          <w:rFonts w:ascii="Arial" w:eastAsia="Times New Roman" w:hAnsi="Arial" w:cs="Arial"/>
          <w:lang w:eastAsia="pl-PL"/>
        </w:rPr>
        <w:t>W rozdziale VI SWZ Zamawiający określił warunki w zakresie zdolności technicznej lub zawodowej oraz , że zostaną przez wykonawcę spełnione, jeżeli wykonawca wykaże, że</w:t>
      </w:r>
      <w:r w:rsidRPr="009523F2">
        <w:rPr>
          <w:rFonts w:ascii="Arial" w:eastAsia="Times New Roman" w:hAnsi="Arial" w:cs="Arial"/>
          <w:lang w:eastAsia="pl-PL"/>
        </w:rPr>
        <w:br/>
        <w:t>w okresie ostatnich 10 lat wykonał co najmniej jedno zamówienie opisane w pkt. 1.2.4.</w:t>
      </w:r>
      <w:r w:rsidRPr="009523F2">
        <w:rPr>
          <w:rFonts w:ascii="Arial" w:eastAsia="Times New Roman" w:hAnsi="Arial" w:cs="Arial"/>
          <w:lang w:eastAsia="pl-PL"/>
        </w:rPr>
        <w:br/>
        <w:t xml:space="preserve">Jednocześnie, w rozdziale VIII SWZ dotyczącym podmiotowych środków dowodowych w pkt. 2.8) Zamawiający wymaga udostępnienia wykazu dostaw w okresie ostatnich 5 lat. </w:t>
      </w:r>
      <w:r w:rsidRPr="009523F2">
        <w:rPr>
          <w:rFonts w:ascii="Arial" w:eastAsia="Times New Roman" w:hAnsi="Arial" w:cs="Arial"/>
          <w:lang w:eastAsia="pl-PL"/>
        </w:rPr>
        <w:br/>
        <w:t>Ten sam zapis znajduje się również w Ogło</w:t>
      </w:r>
      <w:r w:rsidR="00B30995" w:rsidRPr="009523F2">
        <w:rPr>
          <w:rFonts w:ascii="Arial" w:eastAsia="Times New Roman" w:hAnsi="Arial" w:cs="Arial"/>
          <w:lang w:eastAsia="pl-PL"/>
        </w:rPr>
        <w:t>szeniu o zamówieniu w Dz.U UE.</w:t>
      </w:r>
      <w:r w:rsidR="00B30995" w:rsidRPr="009523F2">
        <w:rPr>
          <w:rFonts w:ascii="Arial" w:eastAsia="Times New Roman" w:hAnsi="Arial" w:cs="Arial"/>
          <w:lang w:eastAsia="pl-PL"/>
        </w:rPr>
        <w:br/>
      </w:r>
      <w:r w:rsidRPr="009523F2">
        <w:rPr>
          <w:rFonts w:ascii="Arial" w:eastAsia="Times New Roman" w:hAnsi="Arial" w:cs="Arial"/>
          <w:lang w:eastAsia="pl-PL"/>
        </w:rPr>
        <w:t>Pytający wnosi o doprecyzowanie, który zapis jest wiążący.</w:t>
      </w:r>
    </w:p>
    <w:p w:rsidR="00B430C9" w:rsidRPr="009523F2" w:rsidRDefault="00B430C9" w:rsidP="00E90B3B">
      <w:pPr>
        <w:spacing w:after="0" w:line="276" w:lineRule="auto"/>
        <w:jc w:val="both"/>
        <w:rPr>
          <w:rFonts w:ascii="Arial" w:hAnsi="Arial" w:cs="Arial"/>
        </w:rPr>
      </w:pPr>
    </w:p>
    <w:p w:rsidR="00B430C9" w:rsidRPr="009523F2" w:rsidRDefault="00B430C9" w:rsidP="00E90B3B">
      <w:pPr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9523F2">
        <w:rPr>
          <w:rFonts w:ascii="Arial" w:hAnsi="Arial" w:cs="Arial"/>
          <w:b/>
          <w:highlight w:val="yellow"/>
        </w:rPr>
        <w:t>Odpowied</w:t>
      </w:r>
      <w:r w:rsidR="00B30995" w:rsidRPr="009523F2">
        <w:rPr>
          <w:rFonts w:ascii="Arial" w:hAnsi="Arial" w:cs="Arial"/>
          <w:b/>
          <w:highlight w:val="yellow"/>
        </w:rPr>
        <w:t>ź</w:t>
      </w:r>
      <w:r w:rsidRPr="009523F2">
        <w:rPr>
          <w:rFonts w:ascii="Arial" w:hAnsi="Arial" w:cs="Arial"/>
          <w:b/>
          <w:highlight w:val="yellow"/>
        </w:rPr>
        <w:t>:</w:t>
      </w:r>
    </w:p>
    <w:p w:rsidR="00B430C9" w:rsidRPr="009523F2" w:rsidRDefault="00B430C9" w:rsidP="00E90B3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proofErr w:type="spellStart"/>
      <w:r w:rsidRPr="009523F2">
        <w:rPr>
          <w:rFonts w:ascii="Arial" w:eastAsia="Times New Roman" w:hAnsi="Arial" w:cs="Arial"/>
          <w:i/>
          <w:iCs/>
          <w:lang w:eastAsia="pl-PL"/>
        </w:rPr>
        <w:t>Zanawiający</w:t>
      </w:r>
      <w:proofErr w:type="spellEnd"/>
      <w:r w:rsidRPr="009523F2">
        <w:rPr>
          <w:rFonts w:ascii="Arial" w:eastAsia="Times New Roman" w:hAnsi="Arial" w:cs="Arial"/>
          <w:i/>
          <w:iCs/>
          <w:lang w:eastAsia="pl-PL"/>
        </w:rPr>
        <w:t xml:space="preserve"> ujednolica zapisy SWZ na 10 lat</w:t>
      </w:r>
    </w:p>
    <w:p w:rsidR="00B430C9" w:rsidRPr="009523F2" w:rsidRDefault="00B30995" w:rsidP="00E90B3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523F2">
        <w:rPr>
          <w:rFonts w:ascii="Arial" w:hAnsi="Arial" w:cs="Arial"/>
        </w:rPr>
        <w:t>było:</w:t>
      </w:r>
    </w:p>
    <w:p w:rsidR="00B30995" w:rsidRPr="009523F2" w:rsidRDefault="00B30995" w:rsidP="00E90B3B">
      <w:pPr>
        <w:pStyle w:val="Akapitzlist"/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„2. Zamawiający wezwie wykonawcę, którego oferta została najwyżej oceniona, do złożenia, w wyznaczonym, nie krótszym niż 10 dni terminie, aktualnych na dzień złożenia podmiotowych środków dowodowych (oświadczeń lub dokumentów potwierdzających, że wykonawca nie podlega wykluczeniu oraz spełnia warunki udziału w postępowania), tj. takich dokumentów jak:</w:t>
      </w:r>
    </w:p>
    <w:p w:rsidR="00B30995" w:rsidRPr="009523F2" w:rsidRDefault="00B30995" w:rsidP="00E90B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(…)</w:t>
      </w:r>
    </w:p>
    <w:p w:rsidR="00B30995" w:rsidRPr="009523F2" w:rsidRDefault="00B30995" w:rsidP="00E90B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wykazu dostaw, a w przypadku świadczeń powtarzających się lub ciągłych również wykonywanych, w okresie ostatnich 5 lat, a jeżeli okres prowadzenia działalności jest krótszy - w tym okresie, wraz z podaniem ich wartości, przedmiotu, dat wykonania</w:t>
      </w:r>
      <w:r w:rsidRPr="009523F2">
        <w:rPr>
          <w:rFonts w:ascii="Arial" w:hAnsi="Arial" w:cs="Arial"/>
          <w:i/>
        </w:rPr>
        <w:br/>
        <w:t>i podmiotów, na rzecz których dostawy lub usługi zostały wykonane 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</w:t>
      </w:r>
      <w:r w:rsidRPr="009523F2">
        <w:rPr>
          <w:rFonts w:ascii="Arial" w:hAnsi="Arial" w:cs="Arial"/>
          <w:i/>
        </w:rPr>
        <w:br/>
        <w:t>w okresie ostatnich 3 miesięcy;</w:t>
      </w:r>
    </w:p>
    <w:p w:rsidR="00B30995" w:rsidRPr="009523F2" w:rsidRDefault="00B30995" w:rsidP="00E90B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 xml:space="preserve"> (…)”</w:t>
      </w:r>
    </w:p>
    <w:p w:rsidR="00B430C9" w:rsidRPr="009523F2" w:rsidRDefault="00B30995" w:rsidP="00E90B3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523F2">
        <w:rPr>
          <w:rFonts w:ascii="Arial" w:hAnsi="Arial" w:cs="Arial"/>
        </w:rPr>
        <w:t>powinno być:</w:t>
      </w:r>
    </w:p>
    <w:p w:rsidR="00B30995" w:rsidRPr="009523F2" w:rsidRDefault="00B30995" w:rsidP="00E90B3B">
      <w:pPr>
        <w:pStyle w:val="Akapitzlist"/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„2. Zamawiający wezwie wykonawcę, którego oferta została najwyżej oceniona, do złożenia, w wyznaczonym, nie krótszym niż 10 dni terminie, aktualnych na dzień złożenia podmiotowych środków dowodowych (oświadczeń lub dokumentów potwierdzających, że wykonawca nie podlega wykluczeniu oraz spełnia warunki udziału w postępowania), tj. takich dokumentów jak:</w:t>
      </w:r>
    </w:p>
    <w:p w:rsidR="00B30995" w:rsidRPr="009523F2" w:rsidRDefault="00B30995" w:rsidP="00E90B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(…)</w:t>
      </w:r>
    </w:p>
    <w:p w:rsidR="00B30995" w:rsidRPr="009523F2" w:rsidRDefault="00B30995" w:rsidP="00E90B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 w:rsidRPr="009523F2">
        <w:rPr>
          <w:rFonts w:ascii="Arial" w:hAnsi="Arial" w:cs="Arial"/>
          <w:i/>
        </w:rPr>
        <w:t>wykazu dostaw, a w przypadku świadczeń powtarzających się lub ciągłych również wykonywanych, w okresie ostatnich</w:t>
      </w:r>
      <w:r w:rsidRPr="00EB0B98">
        <w:rPr>
          <w:rFonts w:ascii="Arial" w:hAnsi="Arial" w:cs="Arial"/>
          <w:i/>
          <w:color w:val="00B050"/>
        </w:rPr>
        <w:t xml:space="preserve"> 10</w:t>
      </w:r>
      <w:r w:rsidR="00EB0B98" w:rsidRPr="00EB0B98">
        <w:rPr>
          <w:rFonts w:ascii="Arial" w:hAnsi="Arial" w:cs="Arial"/>
          <w:i/>
          <w:color w:val="00B050"/>
        </w:rPr>
        <w:t xml:space="preserve"> </w:t>
      </w:r>
      <w:r w:rsidRPr="00EB0B98">
        <w:rPr>
          <w:rFonts w:ascii="Arial" w:hAnsi="Arial" w:cs="Arial"/>
          <w:i/>
          <w:color w:val="00B050"/>
        </w:rPr>
        <w:t xml:space="preserve">lat, </w:t>
      </w:r>
      <w:r w:rsidRPr="009523F2">
        <w:rPr>
          <w:rFonts w:ascii="Arial" w:hAnsi="Arial" w:cs="Arial"/>
          <w:i/>
        </w:rPr>
        <w:t xml:space="preserve">a jeżeli okres prowadzenia </w:t>
      </w:r>
      <w:r w:rsidRPr="009523F2">
        <w:rPr>
          <w:rFonts w:ascii="Arial" w:hAnsi="Arial" w:cs="Arial"/>
          <w:i/>
        </w:rPr>
        <w:lastRenderedPageBreak/>
        <w:t>działalności jest krótszy - w tym okresie, wraz z podaniem ich wartości, przedmiotu, dat wykonania i podmiotów, na rzecz których dostawy lub usługi zostały wykonane lub są wykonywane, oraz załączeniem dowodów określających, czy te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</w:t>
      </w:r>
      <w:r w:rsidRPr="009523F2">
        <w:rPr>
          <w:rFonts w:ascii="Arial" w:hAnsi="Arial" w:cs="Arial"/>
          <w:i/>
        </w:rPr>
        <w:br/>
        <w:t>w przypadku świadczeń powtarzających się lub ciągłych nadal wykonywanych referencje bądź inne dokumenty potwierdzające ich należyte wyk</w:t>
      </w:r>
      <w:r w:rsidR="009523F2" w:rsidRPr="009523F2">
        <w:rPr>
          <w:rFonts w:ascii="Arial" w:hAnsi="Arial" w:cs="Arial"/>
          <w:i/>
        </w:rPr>
        <w:t xml:space="preserve">onywanie powinny być wystawione </w:t>
      </w:r>
      <w:r w:rsidRPr="009523F2">
        <w:rPr>
          <w:rFonts w:ascii="Arial" w:hAnsi="Arial" w:cs="Arial"/>
          <w:i/>
        </w:rPr>
        <w:t>w okresie ostatnich 3 miesięcy;</w:t>
      </w:r>
      <w:r w:rsidR="009523F2" w:rsidRPr="009523F2">
        <w:rPr>
          <w:rFonts w:ascii="Arial" w:hAnsi="Arial" w:cs="Arial"/>
          <w:i/>
        </w:rPr>
        <w:t>”</w:t>
      </w:r>
    </w:p>
    <w:p w:rsidR="00B30995" w:rsidRDefault="00B30995" w:rsidP="00E90B3B">
      <w:pPr>
        <w:spacing w:after="0" w:line="276" w:lineRule="auto"/>
        <w:jc w:val="both"/>
        <w:rPr>
          <w:rFonts w:ascii="Arial" w:hAnsi="Arial" w:cs="Arial"/>
          <w:i/>
        </w:rPr>
      </w:pPr>
    </w:p>
    <w:p w:rsidR="00F855DD" w:rsidRDefault="00F855DD" w:rsidP="00E90B3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Mając na względzie powyższe, odpowiednio zmienia się </w:t>
      </w:r>
      <w:r w:rsidR="00B45B1E">
        <w:rPr>
          <w:rFonts w:ascii="Arial" w:hAnsi="Arial" w:cs="Arial"/>
        </w:rPr>
        <w:t xml:space="preserve">postanowienia </w:t>
      </w:r>
      <w:r>
        <w:rPr>
          <w:rFonts w:ascii="Arial" w:hAnsi="Arial" w:cs="Arial"/>
        </w:rPr>
        <w:t>Rozdział</w:t>
      </w:r>
      <w:r w:rsidR="00B45B1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VIII </w:t>
      </w:r>
      <w:r w:rsidR="00155253">
        <w:rPr>
          <w:rFonts w:ascii="Arial" w:hAnsi="Arial" w:cs="Arial"/>
        </w:rPr>
        <w:t xml:space="preserve">pkt 2 </w:t>
      </w:r>
      <w:proofErr w:type="spellStart"/>
      <w:r w:rsidR="00155253">
        <w:rPr>
          <w:rFonts w:ascii="Arial" w:hAnsi="Arial" w:cs="Arial"/>
        </w:rPr>
        <w:t>ppkt</w:t>
      </w:r>
      <w:proofErr w:type="spellEnd"/>
      <w:r w:rsidR="00155253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</w:t>
      </w:r>
    </w:p>
    <w:p w:rsidR="009523F2" w:rsidRDefault="009523F2" w:rsidP="00E90B3B">
      <w:pPr>
        <w:spacing w:after="0" w:line="276" w:lineRule="auto"/>
        <w:jc w:val="both"/>
        <w:rPr>
          <w:rFonts w:ascii="Arial" w:hAnsi="Arial" w:cs="Arial"/>
          <w:i/>
        </w:rPr>
      </w:pPr>
    </w:p>
    <w:p w:rsidR="009523F2" w:rsidRPr="009523F2" w:rsidRDefault="009523F2" w:rsidP="00EB0B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2B2FE4">
        <w:rPr>
          <w:rFonts w:ascii="Arial" w:hAnsi="Arial" w:cs="Arial"/>
          <w:b/>
        </w:rPr>
        <w:t>Zmiana</w:t>
      </w:r>
    </w:p>
    <w:p w:rsidR="009523F2" w:rsidRPr="009523F2" w:rsidRDefault="009523F2" w:rsidP="00E90B3B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9523F2">
        <w:rPr>
          <w:rFonts w:ascii="Arial" w:eastAsia="Times New Roman" w:hAnsi="Arial" w:cs="Arial"/>
          <w:bCs/>
          <w:lang w:eastAsia="pl-PL"/>
        </w:rPr>
        <w:t xml:space="preserve">Zamawiający na mocy przysługujących mu, w świetle przepisów art. </w:t>
      </w:r>
      <w:r w:rsidR="00F646AE">
        <w:rPr>
          <w:rFonts w:ascii="Arial" w:eastAsia="Times New Roman" w:hAnsi="Arial" w:cs="Arial"/>
          <w:bCs/>
          <w:lang w:eastAsia="pl-PL"/>
        </w:rPr>
        <w:t xml:space="preserve">137 </w:t>
      </w:r>
      <w:r w:rsidRPr="009523F2">
        <w:rPr>
          <w:rFonts w:ascii="Arial" w:eastAsia="Times New Roman" w:hAnsi="Arial" w:cs="Arial"/>
          <w:bCs/>
          <w:lang w:eastAsia="pl-PL"/>
        </w:rPr>
        <w:t>ust. 1</w:t>
      </w:r>
      <w:r w:rsidR="00EE5C23">
        <w:rPr>
          <w:rFonts w:ascii="Arial" w:eastAsia="Times New Roman" w:hAnsi="Arial" w:cs="Arial"/>
          <w:bCs/>
          <w:lang w:eastAsia="pl-PL"/>
        </w:rPr>
        <w:t>,</w:t>
      </w:r>
      <w:r w:rsidR="00F646AE">
        <w:rPr>
          <w:rFonts w:ascii="Arial" w:eastAsia="Times New Roman" w:hAnsi="Arial" w:cs="Arial"/>
          <w:bCs/>
          <w:lang w:eastAsia="pl-PL"/>
        </w:rPr>
        <w:t xml:space="preserve"> 4</w:t>
      </w:r>
      <w:r w:rsidRPr="009523F2">
        <w:rPr>
          <w:rFonts w:ascii="Arial" w:eastAsia="Times New Roman" w:hAnsi="Arial" w:cs="Arial"/>
          <w:bCs/>
          <w:lang w:eastAsia="pl-PL"/>
        </w:rPr>
        <w:t xml:space="preserve"> </w:t>
      </w:r>
      <w:r w:rsidR="00EE5C23">
        <w:rPr>
          <w:rFonts w:ascii="Arial" w:eastAsia="Times New Roman" w:hAnsi="Arial" w:cs="Arial"/>
          <w:bCs/>
          <w:lang w:eastAsia="pl-PL"/>
        </w:rPr>
        <w:t xml:space="preserve">i 6 </w:t>
      </w:r>
      <w:r w:rsidRPr="009523F2">
        <w:rPr>
          <w:rFonts w:ascii="Arial" w:eastAsia="Times New Roman" w:hAnsi="Arial" w:cs="Arial"/>
          <w:bCs/>
          <w:lang w:eastAsia="pl-PL"/>
        </w:rPr>
        <w:t>ustawy z dnia 11 września 2019 r. Prawo zamówień publicznych (Dz.U. z 2021 roku, poz. 1129 ze zm.), uprawnień, zmienia treść zapisów SWZ jak poniżej i udostępnia zmiany  na stronie internetowej.</w:t>
      </w:r>
    </w:p>
    <w:p w:rsidR="009523F2" w:rsidRPr="009523F2" w:rsidRDefault="009523F2" w:rsidP="00E90B3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:rsidR="009523F2" w:rsidRPr="009523F2" w:rsidRDefault="009523F2" w:rsidP="00E90B3B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9523F2">
        <w:rPr>
          <w:rFonts w:ascii="Arial" w:eastAsia="Calibri" w:hAnsi="Arial" w:cs="Arial"/>
          <w:lang w:eastAsia="pl-PL"/>
        </w:rPr>
        <w:t xml:space="preserve">Zmienia się zapis w SWZ w rozdziale </w:t>
      </w:r>
      <w:r w:rsidR="00DA6CF5" w:rsidRPr="007F1A7F">
        <w:rPr>
          <w:rFonts w:ascii="Arial" w:eastAsia="Calibri" w:hAnsi="Arial" w:cs="Arial"/>
          <w:lang w:eastAsia="pl-PL"/>
        </w:rPr>
        <w:t>XI</w:t>
      </w:r>
      <w:r w:rsidRPr="009523F2">
        <w:rPr>
          <w:rFonts w:ascii="Arial" w:eastAsia="Calibri" w:hAnsi="Arial" w:cs="Arial"/>
          <w:lang w:eastAsia="pl-PL"/>
        </w:rPr>
        <w:t xml:space="preserve"> Termin związania ofertą ust.1</w:t>
      </w:r>
    </w:p>
    <w:p w:rsidR="009523F2" w:rsidRPr="009523F2" w:rsidRDefault="009523F2" w:rsidP="00E90B3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9523F2">
        <w:rPr>
          <w:rFonts w:ascii="Arial" w:eastAsia="Calibri" w:hAnsi="Arial" w:cs="Arial"/>
          <w:b/>
          <w:lang w:eastAsia="pl-PL"/>
        </w:rPr>
        <w:t>było:</w:t>
      </w:r>
      <w:r w:rsidRPr="009523F2">
        <w:rPr>
          <w:rFonts w:ascii="Arial" w:eastAsia="Calibri" w:hAnsi="Arial" w:cs="Arial"/>
          <w:lang w:eastAsia="pl-PL"/>
        </w:rPr>
        <w:t xml:space="preserve"> </w:t>
      </w:r>
      <w:r w:rsidRPr="009523F2">
        <w:rPr>
          <w:rFonts w:ascii="Arial" w:eastAsia="Calibri" w:hAnsi="Arial" w:cs="Arial"/>
        </w:rPr>
        <w:t xml:space="preserve">Wykonawca pozostaje związany złożoną ofertą przez </w:t>
      </w:r>
      <w:r w:rsidR="00DA6CF5" w:rsidRPr="007F1A7F">
        <w:rPr>
          <w:rFonts w:ascii="Arial" w:eastAsia="Calibri" w:hAnsi="Arial" w:cs="Arial"/>
        </w:rPr>
        <w:t>9</w:t>
      </w:r>
      <w:r w:rsidRPr="009523F2">
        <w:rPr>
          <w:rFonts w:ascii="Arial" w:eastAsia="Calibri" w:hAnsi="Arial" w:cs="Arial"/>
        </w:rPr>
        <w:t xml:space="preserve">0 dni. Bieg terminu związania ofertą rozpoczyna się wraz z upływem terminu składania ofert i kończy się w dniu </w:t>
      </w:r>
      <w:r w:rsidR="00DA6CF5" w:rsidRPr="007F1A7F">
        <w:rPr>
          <w:rFonts w:ascii="Arial" w:eastAsia="Calibri" w:hAnsi="Arial" w:cs="Arial"/>
        </w:rPr>
        <w:t>16 październik</w:t>
      </w:r>
      <w:r w:rsidRPr="009523F2">
        <w:rPr>
          <w:rFonts w:ascii="Arial" w:eastAsia="Calibri" w:hAnsi="Arial" w:cs="Arial"/>
        </w:rPr>
        <w:t xml:space="preserve"> 2022 r. </w:t>
      </w:r>
    </w:p>
    <w:p w:rsidR="009523F2" w:rsidRPr="009523F2" w:rsidRDefault="009523F2" w:rsidP="00E90B3B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9523F2">
        <w:rPr>
          <w:rFonts w:ascii="Arial" w:eastAsia="Calibri" w:hAnsi="Arial" w:cs="Arial"/>
          <w:b/>
          <w:lang w:eastAsia="pl-PL"/>
        </w:rPr>
        <w:t>powinno być:</w:t>
      </w:r>
      <w:r w:rsidRPr="009523F2">
        <w:rPr>
          <w:rFonts w:ascii="Arial" w:eastAsia="Calibri" w:hAnsi="Arial" w:cs="Arial"/>
          <w:lang w:eastAsia="pl-PL"/>
        </w:rPr>
        <w:t xml:space="preserve"> </w:t>
      </w:r>
      <w:r w:rsidRPr="009523F2">
        <w:rPr>
          <w:rFonts w:ascii="Arial" w:eastAsia="Calibri" w:hAnsi="Arial" w:cs="Arial"/>
        </w:rPr>
        <w:t>Wykonawca pozostaje</w:t>
      </w:r>
      <w:r w:rsidR="00DA6CF5" w:rsidRPr="007F1A7F">
        <w:rPr>
          <w:rFonts w:ascii="Arial" w:eastAsia="Calibri" w:hAnsi="Arial" w:cs="Arial"/>
        </w:rPr>
        <w:t xml:space="preserve"> związany złożoną ofertą przez 9</w:t>
      </w:r>
      <w:r w:rsidRPr="009523F2">
        <w:rPr>
          <w:rFonts w:ascii="Arial" w:eastAsia="Calibri" w:hAnsi="Arial" w:cs="Arial"/>
        </w:rPr>
        <w:t>0 dni. Bieg terminu związania ofertą rozpoczyna się wraz z upływem terminu składania ofert</w:t>
      </w:r>
      <w:r w:rsidRPr="009523F2">
        <w:rPr>
          <w:rFonts w:ascii="Arial" w:eastAsia="Calibri" w:hAnsi="Arial" w:cs="Arial"/>
        </w:rPr>
        <w:br/>
        <w:t xml:space="preserve">i kończy się w dniu </w:t>
      </w:r>
      <w:r w:rsidR="00F855DD">
        <w:rPr>
          <w:rFonts w:ascii="Arial" w:eastAsia="Calibri" w:hAnsi="Arial" w:cs="Arial"/>
        </w:rPr>
        <w:t>1</w:t>
      </w:r>
      <w:r w:rsidR="007F1A7F" w:rsidRPr="007F1A7F">
        <w:rPr>
          <w:rFonts w:ascii="Arial" w:eastAsia="Calibri" w:hAnsi="Arial" w:cs="Arial"/>
        </w:rPr>
        <w:t>9</w:t>
      </w:r>
      <w:r w:rsidR="00DA6CF5" w:rsidRPr="007F1A7F">
        <w:rPr>
          <w:rFonts w:ascii="Arial" w:eastAsia="Calibri" w:hAnsi="Arial" w:cs="Arial"/>
        </w:rPr>
        <w:t xml:space="preserve"> październik</w:t>
      </w:r>
      <w:r w:rsidRPr="009523F2">
        <w:rPr>
          <w:rFonts w:ascii="Arial" w:eastAsia="Calibri" w:hAnsi="Arial" w:cs="Arial"/>
        </w:rPr>
        <w:t xml:space="preserve"> 2022 r. </w:t>
      </w:r>
    </w:p>
    <w:p w:rsidR="009523F2" w:rsidRPr="009523F2" w:rsidRDefault="009523F2" w:rsidP="00E90B3B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9523F2">
        <w:rPr>
          <w:rFonts w:ascii="Arial" w:hAnsi="Arial" w:cs="Arial"/>
          <w:lang w:eastAsia="pl-PL"/>
        </w:rPr>
        <w:t>Zmienia się zapis w SWZ w rozdziale XIII Miejsce i termin składania ofert ust.1 i 2</w:t>
      </w:r>
    </w:p>
    <w:p w:rsidR="009523F2" w:rsidRPr="009523F2" w:rsidRDefault="009523F2" w:rsidP="00E90B3B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523F2">
        <w:rPr>
          <w:rFonts w:ascii="Arial" w:eastAsia="Times New Roman" w:hAnsi="Arial" w:cs="Arial"/>
          <w:b/>
          <w:lang w:eastAsia="pl-PL"/>
        </w:rPr>
        <w:t>było:</w:t>
      </w:r>
    </w:p>
    <w:p w:rsidR="009523F2" w:rsidRPr="009523F2" w:rsidRDefault="009523F2" w:rsidP="00E90B3B">
      <w:pPr>
        <w:tabs>
          <w:tab w:val="left" w:pos="993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9523F2">
        <w:rPr>
          <w:rFonts w:ascii="Arial" w:hAnsi="Arial" w:cs="Arial"/>
        </w:rPr>
        <w:t>1.</w:t>
      </w:r>
      <w:r w:rsidRPr="009523F2">
        <w:rPr>
          <w:rFonts w:ascii="Arial" w:hAnsi="Arial" w:cs="Arial"/>
        </w:rPr>
        <w:tab/>
        <w:t xml:space="preserve">Ofertę należy złożyć do dnia </w:t>
      </w:r>
      <w:r w:rsidR="007F1A7F" w:rsidRPr="007F1A7F">
        <w:rPr>
          <w:rFonts w:ascii="Arial" w:hAnsi="Arial" w:cs="Arial"/>
        </w:rPr>
        <w:t>19 lipca</w:t>
      </w:r>
      <w:r w:rsidRPr="009523F2">
        <w:rPr>
          <w:rFonts w:ascii="Arial" w:hAnsi="Arial" w:cs="Arial"/>
        </w:rPr>
        <w:t xml:space="preserve"> 2022 r. do</w:t>
      </w:r>
      <w:r w:rsidR="00FF63CF">
        <w:rPr>
          <w:rFonts w:ascii="Arial" w:hAnsi="Arial" w:cs="Arial"/>
        </w:rPr>
        <w:t xml:space="preserve"> godz. 12:00 w sposób określony</w:t>
      </w:r>
      <w:r w:rsidR="00FF63CF">
        <w:rPr>
          <w:rFonts w:ascii="Arial" w:hAnsi="Arial" w:cs="Arial"/>
        </w:rPr>
        <w:br/>
      </w:r>
      <w:r w:rsidRPr="009523F2">
        <w:rPr>
          <w:rFonts w:ascii="Arial" w:hAnsi="Arial" w:cs="Arial"/>
        </w:rPr>
        <w:t xml:space="preserve">w rozdziale X pkt 2 SWZ.  </w:t>
      </w:r>
    </w:p>
    <w:p w:rsidR="009523F2" w:rsidRPr="009523F2" w:rsidRDefault="009523F2" w:rsidP="00E90B3B">
      <w:pPr>
        <w:tabs>
          <w:tab w:val="left" w:pos="993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9523F2">
        <w:rPr>
          <w:rFonts w:ascii="Arial" w:hAnsi="Arial" w:cs="Arial"/>
        </w:rPr>
        <w:t>2.</w:t>
      </w:r>
      <w:r w:rsidRPr="009523F2">
        <w:rPr>
          <w:rFonts w:ascii="Arial" w:hAnsi="Arial" w:cs="Arial"/>
        </w:rPr>
        <w:tab/>
        <w:t xml:space="preserve">Otwarcie ofert nastąpi w dniu </w:t>
      </w:r>
      <w:r w:rsidR="007F1A7F" w:rsidRPr="007F1A7F">
        <w:rPr>
          <w:rFonts w:ascii="Arial" w:hAnsi="Arial" w:cs="Arial"/>
        </w:rPr>
        <w:t>19 lipca</w:t>
      </w:r>
      <w:r w:rsidRPr="009523F2">
        <w:rPr>
          <w:rFonts w:ascii="Arial" w:hAnsi="Arial" w:cs="Arial"/>
        </w:rPr>
        <w:t xml:space="preserve"> 2022 r. do godz. 12:30 w Urzędzie Miasta Świnoujście, pok. nr 111, za pomocą platformy zakupowej.</w:t>
      </w:r>
    </w:p>
    <w:p w:rsidR="009523F2" w:rsidRPr="009523F2" w:rsidRDefault="009523F2" w:rsidP="00E90B3B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523F2">
        <w:rPr>
          <w:rFonts w:ascii="Arial" w:eastAsia="Times New Roman" w:hAnsi="Arial" w:cs="Arial"/>
          <w:b/>
          <w:lang w:eastAsia="pl-PL"/>
        </w:rPr>
        <w:t xml:space="preserve">powinno być: </w:t>
      </w:r>
    </w:p>
    <w:p w:rsidR="009523F2" w:rsidRPr="009523F2" w:rsidRDefault="009523F2" w:rsidP="00E90B3B">
      <w:pPr>
        <w:tabs>
          <w:tab w:val="left" w:pos="993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9523F2">
        <w:rPr>
          <w:rFonts w:ascii="Arial" w:hAnsi="Arial" w:cs="Arial"/>
        </w:rPr>
        <w:t>1.</w:t>
      </w:r>
      <w:r w:rsidRPr="009523F2">
        <w:rPr>
          <w:rFonts w:ascii="Arial" w:hAnsi="Arial" w:cs="Arial"/>
        </w:rPr>
        <w:tab/>
        <w:t xml:space="preserve">Ofertę należy złożyć do dnia </w:t>
      </w:r>
      <w:r w:rsidR="007F1A7F" w:rsidRPr="007F1A7F">
        <w:rPr>
          <w:rFonts w:ascii="Arial" w:hAnsi="Arial" w:cs="Arial"/>
        </w:rPr>
        <w:t>22</w:t>
      </w:r>
      <w:r w:rsidRPr="009523F2">
        <w:rPr>
          <w:rFonts w:ascii="Arial" w:hAnsi="Arial" w:cs="Arial"/>
        </w:rPr>
        <w:t xml:space="preserve"> lipca 2022 r. do godz. 12:00 w sposób określony</w:t>
      </w:r>
      <w:r w:rsidRPr="009523F2">
        <w:rPr>
          <w:rFonts w:ascii="Arial" w:hAnsi="Arial" w:cs="Arial"/>
        </w:rPr>
        <w:br/>
        <w:t xml:space="preserve">w rozdziale X pkt 2 SWZ.  </w:t>
      </w:r>
    </w:p>
    <w:p w:rsidR="009523F2" w:rsidRPr="009523F2" w:rsidRDefault="009523F2" w:rsidP="00E90B3B">
      <w:pPr>
        <w:tabs>
          <w:tab w:val="left" w:pos="993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9523F2">
        <w:rPr>
          <w:rFonts w:ascii="Arial" w:hAnsi="Arial" w:cs="Arial"/>
        </w:rPr>
        <w:t>2.</w:t>
      </w:r>
      <w:r w:rsidRPr="009523F2">
        <w:rPr>
          <w:rFonts w:ascii="Arial" w:hAnsi="Arial" w:cs="Arial"/>
        </w:rPr>
        <w:tab/>
        <w:t xml:space="preserve">Otwarcie ofert nastąpi w dniu </w:t>
      </w:r>
      <w:r w:rsidR="007F1A7F" w:rsidRPr="007F1A7F">
        <w:rPr>
          <w:rFonts w:ascii="Arial" w:hAnsi="Arial" w:cs="Arial"/>
        </w:rPr>
        <w:t>22</w:t>
      </w:r>
      <w:r w:rsidRPr="009523F2">
        <w:rPr>
          <w:rFonts w:ascii="Arial" w:hAnsi="Arial" w:cs="Arial"/>
        </w:rPr>
        <w:t xml:space="preserve"> lipca 2022 r. do godz. 12:30 w Urzędzie Miasta Świnoujście, pok. nr 111, za pomocą platformy zakupowej.</w:t>
      </w:r>
    </w:p>
    <w:p w:rsidR="009523F2" w:rsidRPr="009523F2" w:rsidRDefault="009523F2" w:rsidP="00E90B3B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9523F2">
        <w:rPr>
          <w:rFonts w:ascii="Arial" w:hAnsi="Arial" w:cs="Arial"/>
          <w:lang w:eastAsia="pl-PL"/>
        </w:rPr>
        <w:t>Pozostałe zapisy dokumentów zamówienia pozostają bez zmian.</w:t>
      </w:r>
    </w:p>
    <w:p w:rsidR="009523F2" w:rsidRPr="009523F2" w:rsidRDefault="009523F2" w:rsidP="00E90B3B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9523F2">
        <w:rPr>
          <w:rFonts w:ascii="Arial" w:hAnsi="Arial" w:cs="Arial"/>
          <w:lang w:eastAsia="pl-PL"/>
        </w:rPr>
        <w:t>Przedmiotowe</w:t>
      </w:r>
      <w:r w:rsidRPr="009523F2">
        <w:rPr>
          <w:rFonts w:ascii="Arial" w:hAnsi="Arial" w:cs="Arial"/>
          <w:bCs/>
          <w:lang w:eastAsia="pl-PL"/>
        </w:rPr>
        <w:t xml:space="preserve"> wyjaśnienia i zmiany:</w:t>
      </w:r>
    </w:p>
    <w:p w:rsidR="009523F2" w:rsidRPr="009523F2" w:rsidRDefault="009523F2" w:rsidP="00E90B3B">
      <w:pPr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 w:rsidRPr="009523F2">
        <w:rPr>
          <w:rFonts w:ascii="Arial" w:hAnsi="Arial" w:cs="Arial"/>
          <w:bCs/>
        </w:rPr>
        <w:t>należy uwzględnić przy sporządzaniu oferty i załączników,</w:t>
      </w:r>
    </w:p>
    <w:p w:rsidR="009523F2" w:rsidRPr="007F1A7F" w:rsidRDefault="009523F2" w:rsidP="00E90B3B">
      <w:pPr>
        <w:numPr>
          <w:ilvl w:val="0"/>
          <w:numId w:val="1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 w:rsidRPr="009523F2">
        <w:rPr>
          <w:rFonts w:ascii="Arial" w:hAnsi="Arial" w:cs="Arial"/>
          <w:bCs/>
        </w:rPr>
        <w:t>prowadzą do zmiany ogłoszenia.</w:t>
      </w:r>
    </w:p>
    <w:sectPr w:rsidR="009523F2" w:rsidRPr="007F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AA5"/>
    <w:multiLevelType w:val="hybridMultilevel"/>
    <w:tmpl w:val="392236E4"/>
    <w:lvl w:ilvl="0" w:tplc="D7EAA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347"/>
    <w:multiLevelType w:val="hybridMultilevel"/>
    <w:tmpl w:val="0316D2AC"/>
    <w:lvl w:ilvl="0" w:tplc="EECA5CF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4D17B1"/>
    <w:multiLevelType w:val="hybridMultilevel"/>
    <w:tmpl w:val="3E5CC1FE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CD3E3E"/>
    <w:multiLevelType w:val="hybridMultilevel"/>
    <w:tmpl w:val="99389532"/>
    <w:lvl w:ilvl="0" w:tplc="9264A1B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22DBD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92A"/>
    <w:multiLevelType w:val="hybridMultilevel"/>
    <w:tmpl w:val="082A9B46"/>
    <w:lvl w:ilvl="0" w:tplc="6FCE8E2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20482"/>
    <w:multiLevelType w:val="hybridMultilevel"/>
    <w:tmpl w:val="1D163E6E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84830"/>
    <w:multiLevelType w:val="hybridMultilevel"/>
    <w:tmpl w:val="4CEEC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27612A"/>
    <w:multiLevelType w:val="hybridMultilevel"/>
    <w:tmpl w:val="9582055A"/>
    <w:lvl w:ilvl="0" w:tplc="D7EAA9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A13A96"/>
    <w:multiLevelType w:val="hybridMultilevel"/>
    <w:tmpl w:val="AEE05D8A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D77CB0"/>
    <w:multiLevelType w:val="hybridMultilevel"/>
    <w:tmpl w:val="D45A3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15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C9"/>
    <w:rsid w:val="00155253"/>
    <w:rsid w:val="001C5370"/>
    <w:rsid w:val="002B2FE4"/>
    <w:rsid w:val="003D29C6"/>
    <w:rsid w:val="007F1A7F"/>
    <w:rsid w:val="009523F2"/>
    <w:rsid w:val="00B26E91"/>
    <w:rsid w:val="00B30995"/>
    <w:rsid w:val="00B430C9"/>
    <w:rsid w:val="00B45B1E"/>
    <w:rsid w:val="00DA6CF5"/>
    <w:rsid w:val="00E90B3B"/>
    <w:rsid w:val="00EB0B98"/>
    <w:rsid w:val="00EC31A1"/>
    <w:rsid w:val="00EE5C23"/>
    <w:rsid w:val="00F646AE"/>
    <w:rsid w:val="00F855DD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0841"/>
  <w15:chartTrackingRefBased/>
  <w15:docId w15:val="{E52051EB-832D-4A40-BCE7-C1D46F8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Poronis Anna</cp:lastModifiedBy>
  <cp:revision>11</cp:revision>
  <dcterms:created xsi:type="dcterms:W3CDTF">2022-07-12T09:08:00Z</dcterms:created>
  <dcterms:modified xsi:type="dcterms:W3CDTF">2022-07-14T12:13:00Z</dcterms:modified>
</cp:coreProperties>
</file>