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6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A0FB9">
        <w:rPr>
          <w:rFonts w:ascii="Times New Roman" w:hAnsi="Times New Roman"/>
        </w:rPr>
        <w:t>e zamówienia publicznego I.271.2.2021</w:t>
      </w:r>
      <w:r>
        <w:rPr>
          <w:rFonts w:ascii="Times New Roman" w:hAnsi="Times New Roman"/>
        </w:rPr>
        <w:t xml:space="preserve"> </w:t>
      </w:r>
      <w:r w:rsidRPr="00E001FE">
        <w:rPr>
          <w:rFonts w:ascii="Times New Roman" w:hAnsi="Times New Roman"/>
        </w:rPr>
        <w:t>„</w:t>
      </w:r>
      <w:r w:rsidR="00FA0FB9" w:rsidRPr="00621EE2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ulic na osiedlu na południe za ul. Polną w Białobrzegach</w:t>
      </w:r>
      <w:r w:rsidRPr="00E001F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</w:t>
      </w:r>
      <w:bookmarkStart w:id="0" w:name="_GoBack"/>
      <w:bookmarkEnd w:id="0"/>
      <w:r w:rsidRPr="0022364A">
        <w:rPr>
          <w:rFonts w:ascii="Times New Roman" w:eastAsia="Times New Roman" w:hAnsi="Times New Roman"/>
          <w:lang w:eastAsia="pl-PL"/>
        </w:rPr>
        <w:t xml:space="preserve"> poz. 1579 i 2018),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40247"/>
    <w:rsid w:val="00060B7F"/>
    <w:rsid w:val="000A76A6"/>
    <w:rsid w:val="001B41FD"/>
    <w:rsid w:val="002722B4"/>
    <w:rsid w:val="00291CC0"/>
    <w:rsid w:val="00382B5C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931ACB"/>
    <w:rsid w:val="00976DAF"/>
    <w:rsid w:val="00AF4EDA"/>
    <w:rsid w:val="00CC1AB9"/>
    <w:rsid w:val="00CC2D44"/>
    <w:rsid w:val="00D7124C"/>
    <w:rsid w:val="00D94CA2"/>
    <w:rsid w:val="00DD12BE"/>
    <w:rsid w:val="00E45E9E"/>
    <w:rsid w:val="00F961F3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obrzeg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2</cp:revision>
  <dcterms:created xsi:type="dcterms:W3CDTF">2021-03-01T13:12:00Z</dcterms:created>
  <dcterms:modified xsi:type="dcterms:W3CDTF">2021-03-01T13:12:00Z</dcterms:modified>
</cp:coreProperties>
</file>