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198B415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8428DB">
        <w:rPr>
          <w:rFonts w:asciiTheme="majorHAnsi" w:eastAsiaTheme="majorEastAsia" w:hAnsiTheme="majorHAnsi" w:cstheme="majorBidi"/>
          <w:caps/>
          <w:color w:val="632423" w:themeColor="accent2" w:themeShade="80"/>
          <w:spacing w:val="20"/>
          <w:lang w:eastAsia="en-US"/>
        </w:rPr>
        <w:t>4</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529C495A" w14:textId="6A4AB801" w:rsidR="00AE5B52" w:rsidRDefault="0064538F"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Budowa kompleksu basenów letnich wraz z zabudową i infrastrukturą towarzyszącą w parku wolności na działce nr 19/3, obręb 0169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10EF5295" w14:textId="1F09D2BD" w:rsidR="0064538F" w:rsidRDefault="0064538F" w:rsidP="0064538F">
      <w:pPr>
        <w:jc w:val="center"/>
        <w:rPr>
          <w:rFonts w:asciiTheme="majorHAnsi" w:eastAsiaTheme="majorEastAsia" w:hAnsiTheme="majorHAnsi" w:cs="Arial"/>
          <w:bCs/>
          <w:lang w:eastAsia="en-US"/>
        </w:rPr>
      </w:pPr>
      <w:r>
        <w:rPr>
          <w:rFonts w:asciiTheme="majorHAnsi" w:eastAsiaTheme="majorEastAsia" w:hAnsiTheme="majorHAnsi" w:cs="Arial"/>
          <w:bCs/>
          <w:lang w:eastAsia="en-US"/>
        </w:rPr>
        <w:t>Zadanie dofinansowane z Programu Rządowego Funduszu Polski</w:t>
      </w:r>
      <w:r w:rsidR="008428DB">
        <w:rPr>
          <w:rFonts w:asciiTheme="majorHAnsi" w:eastAsiaTheme="majorEastAsia" w:hAnsiTheme="majorHAnsi" w:cs="Arial"/>
          <w:bCs/>
          <w:lang w:eastAsia="en-US"/>
        </w:rPr>
        <w:t xml:space="preserve"> Ład</w:t>
      </w:r>
      <w:r>
        <w:rPr>
          <w:rFonts w:asciiTheme="majorHAnsi" w:eastAsiaTheme="majorEastAsia" w:hAnsiTheme="majorHAnsi" w:cs="Arial"/>
          <w:bCs/>
          <w:lang w:eastAsia="en-US"/>
        </w:rPr>
        <w:t>: Program Inwestycji Strategicznych.</w:t>
      </w: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3BE94F50" w14:textId="540D5885" w:rsidR="00F2599C" w:rsidRDefault="008428DB"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28</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Pr>
          <w:rFonts w:asciiTheme="majorHAnsi" w:eastAsiaTheme="majorEastAsia" w:hAnsiTheme="majorHAnsi" w:cs="Arial"/>
          <w:bCs/>
          <w:lang w:eastAsia="en-US"/>
        </w:rPr>
        <w:t>2</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2D5F8A83" w:rsidR="006F69FC" w:rsidRPr="00773D17" w:rsidRDefault="00845451"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przewiduję jedną zaliczkę na poczet udzielenie zamówienia, zgodnie z zapisami promesy wstępnej dotyczącej dofinansowania inwestycji z Programu Rządowy Fundusz Polski Ład: Program Inwestycji Strategicznych. </w:t>
      </w:r>
      <w:r w:rsidR="00A3775D">
        <w:rPr>
          <w:rFonts w:asciiTheme="majorHAnsi" w:eastAsiaTheme="majorEastAsia" w:hAnsiTheme="majorHAnsi" w:cstheme="majorBidi"/>
          <w:lang w:eastAsia="en-US"/>
        </w:rPr>
        <w:t>Zapisy dotyczące zaliczki znajdują się w projekcie umowy- załączniku nr 9 do SWZ.</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w:t>
      </w:r>
      <w:r w:rsidRPr="00773D17">
        <w:rPr>
          <w:rFonts w:asciiTheme="majorHAnsi" w:eastAsiaTheme="majorEastAsia" w:hAnsiTheme="majorHAnsi" w:cstheme="majorBidi"/>
          <w:lang w:eastAsia="en-US"/>
        </w:rPr>
        <w:lastRenderedPageBreak/>
        <w:t xml:space="preserve">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7385ADA6"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E56D17">
        <w:rPr>
          <w:rFonts w:asciiTheme="majorHAnsi" w:eastAsiaTheme="majorEastAsia" w:hAnsiTheme="majorHAnsi" w:cstheme="majorBidi"/>
          <w:b/>
          <w:lang w:eastAsia="en-US"/>
        </w:rPr>
        <w:t xml:space="preserve">Budowa </w:t>
      </w:r>
      <w:r w:rsidR="00845451">
        <w:rPr>
          <w:rFonts w:asciiTheme="majorHAnsi" w:eastAsiaTheme="majorEastAsia" w:hAnsiTheme="majorHAnsi" w:cstheme="majorBidi"/>
          <w:b/>
          <w:lang w:eastAsia="en-US"/>
        </w:rPr>
        <w:t>kompleksu basenów letnich wraz z zabudową i infrastrukturą towarzyszącą w Parku Wolności na działce nr 19/3, obręb 0169 w Gniewkowie.</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wypełnił ww. obowiązki informacyjne oraz ochrony prawnie uzasadnionych interesów osoby trzeciej, której dane zostały </w:t>
      </w:r>
      <w:r w:rsidRPr="00773D17">
        <w:rPr>
          <w:rFonts w:asciiTheme="majorHAnsi" w:eastAsiaTheme="majorEastAsia" w:hAnsiTheme="majorHAnsi" w:cstheme="majorBidi"/>
          <w:lang w:eastAsia="en-US"/>
        </w:rPr>
        <w:lastRenderedPageBreak/>
        <w:t>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4025E740" w:rsidR="00AA4F20" w:rsidRPr="00CF28A6" w:rsidRDefault="00AA4F20" w:rsidP="0069216D">
      <w:pPr>
        <w:numPr>
          <w:ilvl w:val="0"/>
          <w:numId w:val="8"/>
        </w:numPr>
        <w:spacing w:after="200" w:line="252" w:lineRule="auto"/>
        <w:contextualSpacing/>
        <w:jc w:val="both"/>
        <w:rPr>
          <w:rFonts w:asciiTheme="majorHAnsi" w:eastAsiaTheme="majorEastAsia" w:hAnsiTheme="majorHAnsi" w:cstheme="majorBidi"/>
          <w:b/>
          <w:lang w:eastAsia="en-US"/>
        </w:rPr>
      </w:pPr>
      <w:r w:rsidRPr="00CF28A6">
        <w:rPr>
          <w:rFonts w:asciiTheme="majorHAnsi" w:eastAsiaTheme="majorEastAsia" w:hAnsiTheme="majorHAnsi" w:cstheme="majorBidi"/>
          <w:b/>
          <w:lang w:eastAsia="en-US"/>
        </w:rPr>
        <w:lastRenderedPageBreak/>
        <w:t>Przedmiot zamówienia stanowi</w:t>
      </w:r>
      <w:r w:rsidR="001C6A9E" w:rsidRPr="00CF28A6">
        <w:rPr>
          <w:rFonts w:asciiTheme="majorHAnsi" w:eastAsiaTheme="majorEastAsia" w:hAnsiTheme="majorHAnsi" w:cstheme="majorBidi"/>
          <w:b/>
          <w:lang w:eastAsia="en-US"/>
        </w:rPr>
        <w:t xml:space="preserve">: </w:t>
      </w:r>
      <w:r w:rsidR="00AB0388" w:rsidRPr="00CF28A6">
        <w:rPr>
          <w:rFonts w:asciiTheme="majorHAnsi" w:eastAsiaTheme="majorEastAsia" w:hAnsiTheme="majorHAnsi" w:cstheme="majorBidi"/>
          <w:lang w:eastAsia="en-US"/>
        </w:rPr>
        <w:t xml:space="preserve"> Przedmiotem zamówienia </w:t>
      </w:r>
      <w:r w:rsidR="00491585" w:rsidRPr="00CF28A6">
        <w:rPr>
          <w:rFonts w:asciiTheme="majorHAnsi" w:eastAsiaTheme="majorEastAsia" w:hAnsiTheme="majorHAnsi" w:cstheme="majorBidi"/>
          <w:lang w:eastAsia="en-US"/>
        </w:rPr>
        <w:t xml:space="preserve">jest </w:t>
      </w:r>
      <w:r w:rsidR="00175145" w:rsidRPr="00CF28A6">
        <w:rPr>
          <w:rFonts w:asciiTheme="majorHAnsi" w:eastAsiaTheme="majorEastAsia" w:hAnsiTheme="majorHAnsi" w:cstheme="majorBidi"/>
          <w:lang w:eastAsia="en-US"/>
        </w:rPr>
        <w:t xml:space="preserve">wykonanie zadania inwestycyjnego pn. </w:t>
      </w:r>
      <w:r w:rsidR="001B0533" w:rsidRPr="00CF28A6">
        <w:rPr>
          <w:rFonts w:asciiTheme="majorHAnsi" w:eastAsiaTheme="majorEastAsia" w:hAnsiTheme="majorHAnsi" w:cstheme="majorBidi"/>
          <w:b/>
          <w:lang w:eastAsia="en-US"/>
        </w:rPr>
        <w:t xml:space="preserve"> Budowa kompleksu basenów letnich wraz z zabudową i infrastrukturą towarzyszącą w Parku Wolności na działce nr 19/3, obręb 0169 w Gniewkowie.</w:t>
      </w:r>
    </w:p>
    <w:p w14:paraId="02CBB1AF" w14:textId="5CAD90CD" w:rsidR="001B75A2" w:rsidRPr="00CF28A6" w:rsidRDefault="00175145" w:rsidP="001B75A2">
      <w:pPr>
        <w:numPr>
          <w:ilvl w:val="0"/>
          <w:numId w:val="8"/>
        </w:numPr>
        <w:spacing w:line="252" w:lineRule="auto"/>
        <w:contextualSpacing/>
        <w:jc w:val="both"/>
        <w:rPr>
          <w:rFonts w:asciiTheme="majorHAnsi" w:eastAsiaTheme="majorEastAsia" w:hAnsiTheme="majorHAnsi" w:cstheme="majorBidi"/>
          <w:lang w:eastAsia="en-US"/>
        </w:rPr>
      </w:pPr>
      <w:r w:rsidRPr="00CF28A6">
        <w:rPr>
          <w:rFonts w:asciiTheme="majorHAnsi" w:eastAsiaTheme="majorEastAsia" w:hAnsiTheme="majorHAnsi" w:cstheme="majorBidi"/>
          <w:b/>
          <w:lang w:eastAsia="en-US"/>
        </w:rPr>
        <w:t>Krótki opis:</w:t>
      </w:r>
      <w:r w:rsidRPr="00CF28A6">
        <w:rPr>
          <w:rFonts w:asciiTheme="majorHAnsi" w:eastAsiaTheme="majorEastAsia" w:hAnsiTheme="majorHAnsi" w:cstheme="majorBidi"/>
          <w:lang w:eastAsia="en-US"/>
        </w:rPr>
        <w:t xml:space="preserve"> </w:t>
      </w:r>
      <w:r w:rsidR="00A94BFC" w:rsidRPr="00CF28A6">
        <w:rPr>
          <w:rFonts w:asciiTheme="majorHAnsi" w:eastAsiaTheme="majorEastAsia" w:hAnsiTheme="majorHAnsi" w:cstheme="majorBidi"/>
          <w:lang w:eastAsia="en-US"/>
        </w:rPr>
        <w:t xml:space="preserve">Przedmiotem zamówienia jest wykonanie robót budowlanych polegających na </w:t>
      </w:r>
      <w:r w:rsidR="001B75A2" w:rsidRPr="00CF28A6">
        <w:rPr>
          <w:rFonts w:asciiTheme="majorHAnsi" w:eastAsiaTheme="majorEastAsia" w:hAnsiTheme="majorHAnsi" w:cstheme="majorBidi"/>
          <w:lang w:eastAsia="en-US"/>
        </w:rPr>
        <w:t>budowie</w:t>
      </w:r>
      <w:r w:rsidR="00CE65DA" w:rsidRPr="00CF28A6">
        <w:rPr>
          <w:rFonts w:asciiTheme="majorHAnsi" w:eastAsiaTheme="majorEastAsia" w:hAnsiTheme="majorHAnsi" w:cstheme="majorBidi"/>
          <w:lang w:eastAsia="en-US"/>
        </w:rPr>
        <w:t xml:space="preserve"> trzech basenów sezonowych </w:t>
      </w:r>
      <w:r w:rsidR="001B75A2" w:rsidRPr="00CF28A6">
        <w:rPr>
          <w:rFonts w:asciiTheme="majorHAnsi" w:eastAsiaTheme="majorEastAsia" w:hAnsiTheme="majorHAnsi" w:cstheme="majorBidi"/>
          <w:lang w:eastAsia="en-US"/>
        </w:rPr>
        <w:t xml:space="preserve">(otwartych) </w:t>
      </w:r>
      <w:r w:rsidR="001B75A2" w:rsidRPr="00572237">
        <w:rPr>
          <w:rFonts w:asciiTheme="majorHAnsi" w:eastAsiaTheme="majorEastAsia" w:hAnsiTheme="majorHAnsi" w:cstheme="majorBidi"/>
          <w:b/>
          <w:lang w:eastAsia="en-US"/>
        </w:rPr>
        <w:t>o konstrukcji stelażowej</w:t>
      </w:r>
      <w:r w:rsidR="001B75A2" w:rsidRPr="00CF28A6">
        <w:rPr>
          <w:rFonts w:asciiTheme="majorHAnsi" w:eastAsiaTheme="majorEastAsia" w:hAnsiTheme="majorHAnsi" w:cstheme="majorBidi"/>
          <w:lang w:eastAsia="en-US"/>
        </w:rPr>
        <w:t xml:space="preserve"> oraz zjeżdżalni. Wszystkie niecki </w:t>
      </w:r>
      <w:r w:rsidR="001B75A2" w:rsidRPr="00572237">
        <w:rPr>
          <w:rFonts w:asciiTheme="majorHAnsi" w:eastAsiaTheme="majorEastAsia" w:hAnsiTheme="majorHAnsi" w:cstheme="majorBidi"/>
          <w:b/>
          <w:lang w:eastAsia="en-US"/>
        </w:rPr>
        <w:t>basenów stelażowych</w:t>
      </w:r>
      <w:r w:rsidR="001B75A2" w:rsidRPr="00CF28A6">
        <w:rPr>
          <w:rFonts w:asciiTheme="majorHAnsi" w:eastAsiaTheme="majorEastAsia" w:hAnsiTheme="majorHAnsi" w:cstheme="majorBidi"/>
          <w:lang w:eastAsia="en-US"/>
        </w:rPr>
        <w:t xml:space="preserve"> będą dostępne ze wspólnej konstrukcji pomostowej- drewnianej. </w:t>
      </w:r>
      <w:r w:rsidR="001B75A2" w:rsidRPr="00572237">
        <w:rPr>
          <w:rFonts w:asciiTheme="majorHAnsi" w:eastAsiaTheme="majorEastAsia" w:hAnsiTheme="majorHAnsi" w:cstheme="majorBidi"/>
          <w:b/>
          <w:lang w:eastAsia="en-US"/>
        </w:rPr>
        <w:t>Baseny rekreacyjne  stelażowe</w:t>
      </w:r>
      <w:r w:rsidR="001B75A2" w:rsidRPr="00CF28A6">
        <w:rPr>
          <w:rFonts w:asciiTheme="majorHAnsi" w:eastAsiaTheme="majorEastAsia" w:hAnsiTheme="majorHAnsi" w:cstheme="majorBidi"/>
          <w:lang w:eastAsia="en-US"/>
        </w:rPr>
        <w:t xml:space="preserve"> o wymiarach:  </w:t>
      </w:r>
    </w:p>
    <w:p w14:paraId="54CE21A8" w14:textId="77777777" w:rsidR="001B75A2" w:rsidRPr="00CF28A6" w:rsidRDefault="001B75A2" w:rsidP="001B75A2">
      <w:pPr>
        <w:pStyle w:val="Akapitzlist"/>
        <w:numPr>
          <w:ilvl w:val="0"/>
          <w:numId w:val="59"/>
        </w:numPr>
        <w:spacing w:line="252" w:lineRule="auto"/>
        <w:contextualSpacing/>
        <w:jc w:val="both"/>
        <w:rPr>
          <w:rFonts w:asciiTheme="majorHAnsi" w:eastAsiaTheme="majorEastAsia" w:hAnsiTheme="majorHAnsi" w:cstheme="majorBidi"/>
          <w:lang w:eastAsia="en-US"/>
        </w:rPr>
      </w:pPr>
      <w:r w:rsidRPr="00CF28A6">
        <w:rPr>
          <w:rFonts w:asciiTheme="majorHAnsi" w:eastAsiaTheme="majorEastAsia" w:hAnsiTheme="majorHAnsi" w:cstheme="majorBidi"/>
          <w:lang w:eastAsia="en-US"/>
        </w:rPr>
        <w:t>22,6 x 12,7 m  ze stałą głębokością  wody 1,20 m</w:t>
      </w:r>
    </w:p>
    <w:p w14:paraId="2F28ED23" w14:textId="77777777" w:rsidR="001B75A2" w:rsidRPr="00CF28A6" w:rsidRDefault="001B75A2" w:rsidP="001B75A2">
      <w:pPr>
        <w:pStyle w:val="Akapitzlist"/>
        <w:numPr>
          <w:ilvl w:val="0"/>
          <w:numId w:val="59"/>
        </w:numPr>
        <w:spacing w:line="252" w:lineRule="auto"/>
        <w:contextualSpacing/>
        <w:jc w:val="both"/>
        <w:rPr>
          <w:rFonts w:asciiTheme="majorHAnsi" w:eastAsiaTheme="majorEastAsia" w:hAnsiTheme="majorHAnsi" w:cstheme="majorBidi"/>
          <w:lang w:eastAsia="en-US"/>
        </w:rPr>
      </w:pPr>
      <w:r w:rsidRPr="00CF28A6">
        <w:rPr>
          <w:rFonts w:asciiTheme="majorHAnsi" w:eastAsiaTheme="majorEastAsia" w:hAnsiTheme="majorHAnsi" w:cstheme="majorBidi"/>
          <w:lang w:eastAsia="en-US"/>
        </w:rPr>
        <w:t>16,4 x   9,0 m  ze stałą głębokością wody  1,00 m</w:t>
      </w:r>
    </w:p>
    <w:p w14:paraId="26F0DB30" w14:textId="5940C2A6" w:rsidR="001B75A2" w:rsidRPr="00CF28A6" w:rsidRDefault="001B75A2" w:rsidP="001B75A2">
      <w:pPr>
        <w:pStyle w:val="Akapitzlist"/>
        <w:numPr>
          <w:ilvl w:val="0"/>
          <w:numId w:val="59"/>
        </w:numPr>
        <w:spacing w:line="252" w:lineRule="auto"/>
        <w:contextualSpacing/>
        <w:jc w:val="both"/>
        <w:rPr>
          <w:rFonts w:asciiTheme="majorHAnsi" w:eastAsiaTheme="majorEastAsia" w:hAnsiTheme="majorHAnsi" w:cstheme="majorBidi"/>
          <w:lang w:eastAsia="en-US"/>
        </w:rPr>
      </w:pPr>
      <w:r w:rsidRPr="00CF28A6">
        <w:rPr>
          <w:rFonts w:asciiTheme="majorHAnsi" w:eastAsiaTheme="majorEastAsia" w:hAnsiTheme="majorHAnsi" w:cstheme="majorBidi"/>
          <w:lang w:eastAsia="en-US"/>
        </w:rPr>
        <w:t>9,0 x 12,7 m ze stałą głębokością wody   0,60 m</w:t>
      </w:r>
    </w:p>
    <w:p w14:paraId="7EDA7118" w14:textId="7EAA7DE3" w:rsidR="001B75A2" w:rsidRPr="00CF28A6" w:rsidRDefault="001B75A2" w:rsidP="001B75A2">
      <w:pPr>
        <w:spacing w:line="252" w:lineRule="auto"/>
        <w:ind w:left="360"/>
        <w:contextualSpacing/>
        <w:jc w:val="both"/>
        <w:rPr>
          <w:rFonts w:asciiTheme="majorHAnsi" w:eastAsiaTheme="majorEastAsia" w:hAnsiTheme="majorHAnsi" w:cstheme="majorBidi"/>
          <w:lang w:eastAsia="en-US"/>
        </w:rPr>
      </w:pPr>
      <w:r w:rsidRPr="00CF28A6">
        <w:rPr>
          <w:rFonts w:asciiTheme="majorHAnsi" w:eastAsiaTheme="majorEastAsia" w:hAnsiTheme="majorHAnsi" w:cstheme="majorBidi"/>
          <w:lang w:eastAsia="en-US"/>
        </w:rPr>
        <w:t>Dodatkowo projektuje się plenerowe przebieralnie wolnostojące, żagle zacieniające na plaży trawiastej. Całe zaplecze sanitarne i techniczne</w:t>
      </w:r>
      <w:r w:rsidR="00CE65DA" w:rsidRPr="00CF28A6">
        <w:rPr>
          <w:rFonts w:asciiTheme="majorHAnsi" w:eastAsiaTheme="majorEastAsia" w:hAnsiTheme="majorHAnsi" w:cstheme="majorBidi"/>
          <w:lang w:eastAsia="en-US"/>
        </w:rPr>
        <w:t xml:space="preserve"> oraz pomieszczenia obsługi dla </w:t>
      </w:r>
      <w:r w:rsidRPr="00CF28A6">
        <w:rPr>
          <w:rFonts w:asciiTheme="majorHAnsi" w:eastAsiaTheme="majorEastAsia" w:hAnsiTheme="majorHAnsi" w:cstheme="majorBidi"/>
          <w:lang w:eastAsia="en-US"/>
        </w:rPr>
        <w:t>obiektu zaprojektowano w</w:t>
      </w:r>
      <w:r w:rsidR="00CE65DA" w:rsidRPr="00CF28A6">
        <w:rPr>
          <w:rFonts w:asciiTheme="majorHAnsi" w:eastAsiaTheme="majorEastAsia" w:hAnsiTheme="majorHAnsi" w:cstheme="majorBidi"/>
          <w:lang w:eastAsia="en-US"/>
        </w:rPr>
        <w:t xml:space="preserve"> formie budynków kontenerowych, </w:t>
      </w:r>
      <w:r w:rsidRPr="00CF28A6">
        <w:rPr>
          <w:rFonts w:asciiTheme="majorHAnsi" w:eastAsiaTheme="majorEastAsia" w:hAnsiTheme="majorHAnsi" w:cstheme="majorBidi"/>
          <w:lang w:eastAsia="en-US"/>
        </w:rPr>
        <w:t>prefabrykowanych, o wysokości jednej kondygnacji nadziemnej.</w:t>
      </w:r>
    </w:p>
    <w:p w14:paraId="24B4E6E6" w14:textId="77777777" w:rsidR="00CF28A6" w:rsidRPr="00CF28A6" w:rsidRDefault="00CF28A6" w:rsidP="001B75A2">
      <w:pPr>
        <w:spacing w:line="252" w:lineRule="auto"/>
        <w:ind w:left="360"/>
        <w:contextualSpacing/>
        <w:jc w:val="both"/>
        <w:rPr>
          <w:rFonts w:asciiTheme="majorHAnsi" w:eastAsiaTheme="majorEastAsia" w:hAnsiTheme="majorHAnsi" w:cstheme="majorBidi"/>
          <w:lang w:eastAsia="en-US"/>
        </w:rPr>
      </w:pPr>
    </w:p>
    <w:p w14:paraId="1FFC78F2" w14:textId="1AA54D5B" w:rsidR="00CF28A6" w:rsidRDefault="00CF28A6" w:rsidP="00CF28A6">
      <w:pPr>
        <w:spacing w:after="160" w:line="276" w:lineRule="auto"/>
        <w:jc w:val="both"/>
        <w:rPr>
          <w:rFonts w:asciiTheme="majorHAnsi" w:eastAsia="Calibri" w:hAnsiTheme="majorHAnsi" w:cs="Calibri"/>
          <w:b/>
          <w:lang w:eastAsia="en-US"/>
        </w:rPr>
      </w:pPr>
      <w:r w:rsidRPr="00CF28A6">
        <w:rPr>
          <w:rFonts w:asciiTheme="majorHAnsi" w:eastAsia="Calibri" w:hAnsiTheme="majorHAnsi" w:cs="Calibri"/>
          <w:b/>
          <w:lang w:eastAsia="en-US"/>
        </w:rPr>
        <w:t xml:space="preserve">Zamawiający dopuszcza możliwość zastosowania niecek panelowych samonośnych </w:t>
      </w:r>
      <w:r w:rsidRPr="00CF28A6">
        <w:rPr>
          <w:rFonts w:asciiTheme="majorHAnsi" w:eastAsia="Calibri" w:hAnsiTheme="majorHAnsi" w:cs="Century Gothic"/>
          <w:b/>
          <w:lang w:eastAsia="en-US"/>
        </w:rPr>
        <w:t xml:space="preserve"> o wymiarach nie mniejszych niż niecki opisane w  pkt A  specyfikacji technicznej wykonania o odbioru robót zamiennej nr B17.00.00</w:t>
      </w:r>
      <w:r>
        <w:rPr>
          <w:rFonts w:asciiTheme="majorHAnsi" w:eastAsia="Calibri" w:hAnsiTheme="majorHAnsi" w:cs="Calibri"/>
          <w:b/>
          <w:lang w:eastAsia="en-US"/>
        </w:rPr>
        <w:t xml:space="preserve">- załącznik nr 21 do SWZ. </w:t>
      </w:r>
      <w:r w:rsidRPr="00CF28A6">
        <w:rPr>
          <w:rFonts w:asciiTheme="majorHAnsi" w:eastAsia="Calibri" w:hAnsiTheme="majorHAnsi" w:cs="Calibri"/>
          <w:b/>
          <w:lang w:eastAsia="en-US"/>
        </w:rPr>
        <w:t xml:space="preserve">Ponieważ dokumentacja projektowa została wykonana z uwzględnieniem rozwiązań dla niecek stelażowych to w przypadku zastosowania niecek panelowych samonośnych należy wziąć pod uwagę ewentualną konieczność wykonania dokumentacji zamiennej w przypadku wystąpienia zmian istotnych </w:t>
      </w:r>
      <w:r w:rsidRPr="00CF28A6">
        <w:rPr>
          <w:rFonts w:asciiTheme="majorHAnsi" w:eastAsia="Calibri" w:hAnsiTheme="majorHAnsi" w:cs="Calibri"/>
          <w:b/>
          <w:bCs/>
          <w:lang w:eastAsia="en-US"/>
        </w:rPr>
        <w:t>w świetle Ustawy Prawo Budowlane. Koszty związane z dostosowaniem projektu do wykorzystania innego materiału po stronie Wykonawcy. Zamawiający opisał wymagania dla niecek w załąc</w:t>
      </w:r>
      <w:r w:rsidRPr="00CF28A6">
        <w:rPr>
          <w:rFonts w:asciiTheme="majorHAnsi" w:eastAsia="Calibri" w:hAnsiTheme="majorHAnsi" w:cs="Calibri"/>
          <w:b/>
          <w:lang w:eastAsia="en-US"/>
        </w:rPr>
        <w:t xml:space="preserve">zonej dokumentacji projektowej (niecki stelażowe) oraz w integralnej części dokumentacji jaką jest </w:t>
      </w:r>
      <w:proofErr w:type="spellStart"/>
      <w:r w:rsidRPr="00CF28A6">
        <w:rPr>
          <w:rFonts w:asciiTheme="majorHAnsi" w:eastAsia="Calibri" w:hAnsiTheme="majorHAnsi" w:cs="Calibri"/>
          <w:b/>
          <w:lang w:eastAsia="en-US"/>
        </w:rPr>
        <w:t>STWiOR</w:t>
      </w:r>
      <w:proofErr w:type="spellEnd"/>
      <w:r w:rsidRPr="00CF28A6">
        <w:rPr>
          <w:rFonts w:asciiTheme="majorHAnsi" w:eastAsia="Calibri" w:hAnsiTheme="majorHAnsi" w:cs="Calibri"/>
          <w:b/>
          <w:lang w:eastAsia="en-US"/>
        </w:rPr>
        <w:t xml:space="preserve"> (niecki stelażowe i niecki panelowe samonośne) oraz poniżej.</w:t>
      </w:r>
    </w:p>
    <w:p w14:paraId="4FC61507" w14:textId="0A393DD7" w:rsidR="00CF28A6" w:rsidRPr="00CF28A6" w:rsidRDefault="00CF28A6" w:rsidP="00CF28A6">
      <w:pPr>
        <w:spacing w:after="160" w:line="276" w:lineRule="auto"/>
        <w:jc w:val="both"/>
        <w:rPr>
          <w:rFonts w:asciiTheme="majorHAnsi" w:eastAsia="Calibri" w:hAnsiTheme="majorHAnsi" w:cs="Calibri"/>
          <w:b/>
          <w:u w:val="single"/>
          <w:lang w:eastAsia="en-US"/>
        </w:rPr>
      </w:pPr>
      <w:r w:rsidRPr="00CF28A6">
        <w:rPr>
          <w:rFonts w:asciiTheme="majorHAnsi" w:eastAsia="Calibri" w:hAnsiTheme="majorHAnsi" w:cs="Calibri"/>
          <w:b/>
          <w:u w:val="single"/>
          <w:lang w:eastAsia="en-US"/>
        </w:rPr>
        <w:t>Ofertę należy złożyć z podaniem informacji o systemie niecek jaki został wyceniony: niecki stelażowe czy niecki panelowe samonośne.</w:t>
      </w:r>
      <w:r>
        <w:rPr>
          <w:rFonts w:asciiTheme="majorHAnsi" w:eastAsia="Calibri" w:hAnsiTheme="majorHAnsi" w:cs="Calibri"/>
          <w:b/>
          <w:u w:val="single"/>
          <w:lang w:eastAsia="en-US"/>
        </w:rPr>
        <w:t xml:space="preserve"> – zakreślając odpowiednie okno w formularzu ofertowym.</w:t>
      </w:r>
    </w:p>
    <w:p w14:paraId="33B8A3B2" w14:textId="77777777" w:rsidR="00CF28A6" w:rsidRPr="00CF28A6" w:rsidRDefault="00CF28A6" w:rsidP="00CF28A6">
      <w:pPr>
        <w:spacing w:after="160" w:line="276" w:lineRule="auto"/>
        <w:jc w:val="both"/>
        <w:rPr>
          <w:rFonts w:asciiTheme="majorHAnsi" w:eastAsia="Calibri" w:hAnsiTheme="majorHAnsi" w:cs="Calibri"/>
          <w:b/>
          <w:lang w:eastAsia="en-US"/>
        </w:rPr>
      </w:pPr>
      <w:r w:rsidRPr="00CF28A6">
        <w:rPr>
          <w:rFonts w:asciiTheme="majorHAnsi" w:eastAsia="Calibri" w:hAnsiTheme="majorHAnsi" w:cs="Calibri"/>
          <w:b/>
          <w:lang w:eastAsia="en-US"/>
        </w:rPr>
        <w:t>WYMAGANIA DLA SYSTEMU BASENÓW PANELOWYCH – SAMONOŚNYCH.</w:t>
      </w:r>
    </w:p>
    <w:p w14:paraId="4D6CBDF4" w14:textId="77777777" w:rsidR="00CF28A6" w:rsidRPr="00CF28A6" w:rsidRDefault="00CF28A6" w:rsidP="00CF28A6">
      <w:pPr>
        <w:spacing w:after="160" w:line="276" w:lineRule="auto"/>
        <w:jc w:val="both"/>
        <w:rPr>
          <w:rFonts w:asciiTheme="majorHAnsi" w:eastAsia="Calibri" w:hAnsiTheme="majorHAnsi"/>
          <w:lang w:eastAsia="en-US"/>
        </w:rPr>
      </w:pPr>
      <w:r w:rsidRPr="00CF28A6">
        <w:rPr>
          <w:rFonts w:asciiTheme="majorHAnsi" w:eastAsia="Calibri" w:hAnsiTheme="majorHAnsi"/>
          <w:lang w:eastAsia="en-US"/>
        </w:rPr>
        <w:t xml:space="preserve">Wszystkie baseny w kompleksie w przypadku niecek panelowych muszą być wykonane w technologii panelowej stalowej jako konstrukcja samonośna w rozmiarach jak dla niecek stelażowych. Konstrukcja powinna zawierać wszystkie niezbędne elementy jak skimmery ścienne, narożniki łączące itp. </w:t>
      </w:r>
    </w:p>
    <w:p w14:paraId="5FC00EC2" w14:textId="1EFCA006" w:rsidR="00CF28A6" w:rsidRPr="00CF28A6" w:rsidRDefault="00CF28A6" w:rsidP="00CF28A6">
      <w:pPr>
        <w:spacing w:after="160" w:line="276" w:lineRule="auto"/>
        <w:jc w:val="both"/>
        <w:rPr>
          <w:rFonts w:asciiTheme="majorHAnsi" w:eastAsia="Calibri" w:hAnsiTheme="majorHAnsi"/>
          <w:lang w:eastAsia="en-US"/>
        </w:rPr>
      </w:pPr>
      <w:r w:rsidRPr="00CF28A6">
        <w:rPr>
          <w:rFonts w:asciiTheme="majorHAnsi" w:eastAsia="Calibri" w:hAnsiTheme="majorHAnsi"/>
          <w:lang w:eastAsia="en-US"/>
        </w:rPr>
        <w:t xml:space="preserve">Ściany niecki basenowej powinny składać się z paneli stalowych o </w:t>
      </w:r>
      <w:r>
        <w:rPr>
          <w:rFonts w:asciiTheme="majorHAnsi" w:eastAsia="Calibri" w:hAnsiTheme="majorHAnsi"/>
          <w:lang w:eastAsia="en-US"/>
        </w:rPr>
        <w:t xml:space="preserve">szerokości standardowej ok 1 m </w:t>
      </w:r>
      <w:r w:rsidRPr="00CF28A6">
        <w:rPr>
          <w:rFonts w:asciiTheme="majorHAnsi" w:eastAsia="Calibri" w:hAnsiTheme="majorHAnsi"/>
          <w:lang w:eastAsia="en-US"/>
        </w:rPr>
        <w:t>i wysokości pozwalającej zachować</w:t>
      </w:r>
      <w:r>
        <w:rPr>
          <w:rFonts w:asciiTheme="majorHAnsi" w:eastAsia="Calibri" w:hAnsiTheme="majorHAnsi"/>
          <w:lang w:eastAsia="en-US"/>
        </w:rPr>
        <w:t xml:space="preserve"> głębokość wody 0,6, 1,0 i 1,20 </w:t>
      </w:r>
      <w:r w:rsidRPr="00CF28A6">
        <w:rPr>
          <w:rFonts w:asciiTheme="majorHAnsi" w:eastAsia="Calibri" w:hAnsiTheme="majorHAnsi"/>
          <w:lang w:eastAsia="en-US"/>
        </w:rPr>
        <w:t>m. Łączenia sąsiadujący</w:t>
      </w:r>
      <w:r>
        <w:rPr>
          <w:rFonts w:asciiTheme="majorHAnsi" w:eastAsia="Calibri" w:hAnsiTheme="majorHAnsi"/>
          <w:lang w:eastAsia="en-US"/>
        </w:rPr>
        <w:t xml:space="preserve">ch ścian </w:t>
      </w:r>
      <w:r w:rsidRPr="00CF28A6">
        <w:rPr>
          <w:rFonts w:asciiTheme="majorHAnsi" w:eastAsia="Calibri" w:hAnsiTheme="majorHAnsi"/>
          <w:lang w:eastAsia="en-US"/>
        </w:rPr>
        <w:t xml:space="preserve">powinno być wykonane za pomocą systemowych narożników paneli o wysokościach jak zastosowane panele w danej niecce. Niecki mają </w:t>
      </w:r>
      <w:r w:rsidRPr="00CF28A6">
        <w:rPr>
          <w:rFonts w:asciiTheme="majorHAnsi" w:eastAsia="Calibri" w:hAnsiTheme="majorHAnsi"/>
          <w:lang w:eastAsia="en-US"/>
        </w:rPr>
        <w:lastRenderedPageBreak/>
        <w:t>dno o regularnym kształcie i pokryte są membraną antypoślizgową. Wszystkie niecki mają dno o stałej głębokości: 0,6, 1,0 i 1,20 m.</w:t>
      </w:r>
    </w:p>
    <w:p w14:paraId="66030F80" w14:textId="77777777" w:rsidR="00CF28A6" w:rsidRPr="00CF28A6" w:rsidRDefault="00CF28A6" w:rsidP="00CF28A6">
      <w:pPr>
        <w:spacing w:line="276" w:lineRule="auto"/>
        <w:jc w:val="both"/>
        <w:rPr>
          <w:rFonts w:asciiTheme="majorHAnsi" w:eastAsia="Calibri" w:hAnsiTheme="majorHAnsi"/>
          <w:lang w:eastAsia="en-US"/>
        </w:rPr>
      </w:pPr>
      <w:r w:rsidRPr="00CF28A6">
        <w:rPr>
          <w:rFonts w:asciiTheme="majorHAnsi" w:eastAsia="Calibri" w:hAnsiTheme="majorHAnsi"/>
          <w:lang w:eastAsia="en-US"/>
        </w:rPr>
        <w:t>Grubość stali stanowiącej konstrukcję ścian niecki basenowej, podpór, łączników i narożników powinna wynosić 2 mm. Konstrukcja ścian powinna posiada niezależne ożebrowania wzmacniające od strony zewnętrznej: poziome, pionowe.</w:t>
      </w:r>
    </w:p>
    <w:p w14:paraId="1E769857" w14:textId="77777777" w:rsidR="00CF28A6" w:rsidRPr="00CF28A6" w:rsidRDefault="00CF28A6" w:rsidP="00CF28A6">
      <w:pPr>
        <w:spacing w:line="276" w:lineRule="auto"/>
        <w:jc w:val="both"/>
        <w:rPr>
          <w:rFonts w:asciiTheme="majorHAnsi" w:eastAsia="Calibri" w:hAnsiTheme="majorHAnsi"/>
          <w:lang w:eastAsia="en-US"/>
        </w:rPr>
      </w:pPr>
      <w:r w:rsidRPr="00CF28A6">
        <w:rPr>
          <w:rFonts w:asciiTheme="majorHAnsi" w:eastAsia="Calibri" w:hAnsiTheme="majorHAnsi"/>
          <w:lang w:eastAsia="en-US"/>
        </w:rPr>
        <w:t>W celu zapobiegania korozji, zarówno stal stanowiąca konstrukcję niecki, jak i wszystkie inne elementy wykonywane powinny być ze stali zabezpieczonej antykorozyjnie w procesie cynkowania ogniowego. Dla zapewnienia prawidłowego rozprowadzenia powłoki antykorozyjnej proces powinien być przeprowadzony w kąpieli cynkowej o temperaturze 400</w:t>
      </w:r>
      <w:r w:rsidRPr="00CF28A6">
        <w:rPr>
          <w:rFonts w:asciiTheme="majorHAnsi" w:eastAsia="Calibri" w:hAnsiTheme="majorHAnsi"/>
          <w:vertAlign w:val="superscript"/>
          <w:lang w:eastAsia="en-US"/>
        </w:rPr>
        <w:t>o</w:t>
      </w:r>
      <w:r w:rsidRPr="00CF28A6">
        <w:rPr>
          <w:rFonts w:asciiTheme="majorHAnsi" w:eastAsia="Calibri" w:hAnsiTheme="majorHAnsi"/>
          <w:lang w:eastAsia="en-US"/>
        </w:rPr>
        <w:t>C do 560</w:t>
      </w:r>
      <w:r w:rsidRPr="00CF28A6">
        <w:rPr>
          <w:rFonts w:asciiTheme="majorHAnsi" w:eastAsia="Calibri" w:hAnsiTheme="majorHAnsi"/>
          <w:vertAlign w:val="superscript"/>
          <w:lang w:eastAsia="en-US"/>
        </w:rPr>
        <w:t>o</w:t>
      </w:r>
      <w:r w:rsidRPr="00CF28A6">
        <w:rPr>
          <w:rFonts w:asciiTheme="majorHAnsi" w:eastAsia="Calibri" w:hAnsiTheme="majorHAnsi"/>
          <w:lang w:eastAsia="en-US"/>
        </w:rPr>
        <w:t xml:space="preserve">C. Proces ten musi być przeprowadzony po wykonaniu wszystkich otworów w panelach ze względu na otrzymanie w ten sposób najlepszych właściwości ochronnych przed wpływem niekorzystnych warunków występujących </w:t>
      </w:r>
      <w:r w:rsidRPr="00CF28A6">
        <w:rPr>
          <w:rFonts w:asciiTheme="majorHAnsi" w:eastAsia="Calibri" w:hAnsiTheme="majorHAnsi"/>
          <w:lang w:eastAsia="en-US"/>
        </w:rPr>
        <w:br/>
        <w:t>w obrębie niecki basenowej.</w:t>
      </w:r>
    </w:p>
    <w:p w14:paraId="46BEF83A" w14:textId="77777777" w:rsidR="00CF28A6" w:rsidRPr="00CF28A6" w:rsidRDefault="00CF28A6" w:rsidP="00CF28A6">
      <w:pPr>
        <w:spacing w:line="276" w:lineRule="auto"/>
        <w:jc w:val="both"/>
        <w:rPr>
          <w:rFonts w:asciiTheme="majorHAnsi" w:eastAsia="Calibri" w:hAnsiTheme="majorHAnsi"/>
          <w:lang w:eastAsia="en-US"/>
        </w:rPr>
      </w:pPr>
    </w:p>
    <w:p w14:paraId="2745B2DF" w14:textId="29D6A970" w:rsidR="00CF28A6" w:rsidRPr="00CF28A6" w:rsidRDefault="00CF28A6" w:rsidP="00CF28A6">
      <w:pPr>
        <w:spacing w:line="276" w:lineRule="auto"/>
        <w:jc w:val="both"/>
        <w:rPr>
          <w:rFonts w:asciiTheme="majorHAnsi" w:eastAsia="Calibri" w:hAnsiTheme="majorHAnsi" w:cs="Calibri"/>
          <w:lang w:eastAsia="en-US"/>
        </w:rPr>
      </w:pPr>
      <w:proofErr w:type="spellStart"/>
      <w:r w:rsidRPr="00CF28A6">
        <w:rPr>
          <w:rFonts w:asciiTheme="majorHAnsi" w:eastAsia="Calibri" w:hAnsiTheme="majorHAnsi"/>
          <w:lang w:eastAsia="en-US"/>
        </w:rPr>
        <w:t>Kotwienie</w:t>
      </w:r>
      <w:proofErr w:type="spellEnd"/>
      <w:r w:rsidRPr="00CF28A6">
        <w:rPr>
          <w:rFonts w:asciiTheme="majorHAnsi" w:eastAsia="Calibri" w:hAnsiTheme="majorHAnsi"/>
          <w:lang w:eastAsia="en-US"/>
        </w:rPr>
        <w:t xml:space="preserve"> paneli ściennych do dna żelbetowego odbywać się powinno przy użyciu kołków systemowych z masą chemiczną (żywica) dostarczanych z konstrukcją metalową. Dodatkowo panele ścienne powinny być mocowane do żelbetowej płyty dennej przy użyciu systemu wsporników zakończonych otworowaną stopą. Podpory powinny być wyposażone w  śruby napinające, które umożliwiać powinny doregulowanie wymiarów basenu w pionie (na etapie montażu lub po tym etapie – w czasie użytkowania) w przypadku osiadania basenu l. </w:t>
      </w:r>
      <w:r w:rsidRPr="00CF28A6">
        <w:rPr>
          <w:rFonts w:asciiTheme="majorHAnsi" w:eastAsia="Calibri" w:hAnsiTheme="majorHAnsi"/>
          <w:bCs/>
          <w:lang w:eastAsia="en-US"/>
        </w:rPr>
        <w:t xml:space="preserve">Regulacja odchylenia </w:t>
      </w:r>
      <w:proofErr w:type="spellStart"/>
      <w:r w:rsidRPr="00CF28A6">
        <w:rPr>
          <w:rFonts w:asciiTheme="majorHAnsi" w:eastAsia="Calibri" w:hAnsiTheme="majorHAnsi"/>
          <w:bCs/>
          <w:lang w:eastAsia="en-US"/>
        </w:rPr>
        <w:t>panela</w:t>
      </w:r>
      <w:proofErr w:type="spellEnd"/>
      <w:r w:rsidRPr="00CF28A6">
        <w:rPr>
          <w:rFonts w:asciiTheme="majorHAnsi" w:eastAsia="Calibri" w:hAnsiTheme="majorHAnsi"/>
          <w:bCs/>
          <w:lang w:eastAsia="en-US"/>
        </w:rPr>
        <w:t xml:space="preserve"> od osi pionowej powinna się odbywać w minimalnym zakresie od 0 do 30 mm w obu kierunkach</w:t>
      </w:r>
      <w:r w:rsidRPr="00CF28A6">
        <w:rPr>
          <w:rFonts w:asciiTheme="majorHAnsi" w:eastAsia="Calibri" w:hAnsiTheme="majorHAnsi"/>
          <w:b/>
          <w:lang w:eastAsia="en-US"/>
        </w:rPr>
        <w:t>.</w:t>
      </w:r>
      <w:r w:rsidRPr="00CF28A6">
        <w:rPr>
          <w:rFonts w:asciiTheme="majorHAnsi" w:eastAsia="Calibri" w:hAnsiTheme="majorHAnsi"/>
          <w:lang w:eastAsia="en-US"/>
        </w:rPr>
        <w:t xml:space="preserve"> Regulacja paneli w poziomie odbywać się powinna poprzez regulowane kotwy mocujące panel do żelbetowej płyty dennej w zakresie </w:t>
      </w:r>
      <w:r w:rsidR="00021C10" w:rsidRPr="00CF28A6">
        <w:rPr>
          <w:rFonts w:asciiTheme="majorHAnsi" w:eastAsia="Calibri" w:hAnsiTheme="majorHAnsi"/>
          <w:lang w:eastAsia="en-US"/>
        </w:rPr>
        <w:t>umożliwiającym</w:t>
      </w:r>
      <w:r w:rsidRPr="00CF28A6">
        <w:rPr>
          <w:rFonts w:asciiTheme="majorHAnsi" w:eastAsia="Calibri" w:hAnsiTheme="majorHAnsi"/>
          <w:lang w:eastAsia="en-US"/>
        </w:rPr>
        <w:t xml:space="preserve"> wypoziomowanie krawędzi basenu do poziomu z tolerancja  ±2mm . Dla dodatkowej stabilizacji </w:t>
      </w:r>
      <w:proofErr w:type="spellStart"/>
      <w:r w:rsidRPr="00CF28A6">
        <w:rPr>
          <w:rFonts w:asciiTheme="majorHAnsi" w:eastAsia="Calibri" w:hAnsiTheme="majorHAnsi"/>
          <w:lang w:eastAsia="en-US"/>
        </w:rPr>
        <w:t>panela</w:t>
      </w:r>
      <w:proofErr w:type="spellEnd"/>
      <w:r w:rsidRPr="00CF28A6">
        <w:rPr>
          <w:rFonts w:asciiTheme="majorHAnsi" w:eastAsia="Calibri" w:hAnsiTheme="majorHAnsi"/>
          <w:lang w:eastAsia="en-US"/>
        </w:rPr>
        <w:t xml:space="preserve"> i podpory powinno się zastosować wspornik poprzeczny wykonany </w:t>
      </w:r>
      <w:proofErr w:type="spellStart"/>
      <w:r w:rsidRPr="00CF28A6">
        <w:rPr>
          <w:rFonts w:asciiTheme="majorHAnsi" w:eastAsia="Calibri" w:hAnsiTheme="majorHAnsi"/>
          <w:lang w:eastAsia="en-US"/>
        </w:rPr>
        <w:t>np</w:t>
      </w:r>
      <w:proofErr w:type="spellEnd"/>
      <w:r w:rsidRPr="00CF28A6">
        <w:rPr>
          <w:rFonts w:asciiTheme="majorHAnsi" w:eastAsia="Calibri" w:hAnsiTheme="majorHAnsi"/>
          <w:lang w:eastAsia="en-US"/>
        </w:rPr>
        <w:t xml:space="preserve"> z kątownika stalowego.</w:t>
      </w:r>
    </w:p>
    <w:p w14:paraId="37EBDAC5" w14:textId="77777777" w:rsidR="00CF28A6" w:rsidRPr="00CF28A6" w:rsidRDefault="00CF28A6" w:rsidP="00CF28A6">
      <w:pPr>
        <w:spacing w:after="160" w:line="276" w:lineRule="auto"/>
        <w:jc w:val="both"/>
        <w:rPr>
          <w:rFonts w:asciiTheme="majorHAnsi" w:eastAsia="Calibri" w:hAnsiTheme="majorHAnsi"/>
          <w:lang w:eastAsia="en-US"/>
        </w:rPr>
      </w:pPr>
      <w:r w:rsidRPr="00CF28A6">
        <w:rPr>
          <w:rFonts w:asciiTheme="majorHAnsi" w:eastAsia="Calibri" w:hAnsiTheme="majorHAnsi"/>
          <w:lang w:eastAsia="en-US"/>
        </w:rPr>
        <w:t>Montaż modułowych skimmerów umieszczonych w ścianach niecek powinien być wykonany po ukończeniu montażu paneli. Połączenie skimmerów z konstrukcją ścian wykonane powinno być za pomocą śrub systemowych.</w:t>
      </w:r>
    </w:p>
    <w:p w14:paraId="6E349586" w14:textId="2B2EF878" w:rsidR="00CF28A6" w:rsidRPr="00CF28A6" w:rsidRDefault="00CF28A6" w:rsidP="00CF28A6">
      <w:pPr>
        <w:spacing w:after="160" w:line="276" w:lineRule="auto"/>
        <w:jc w:val="both"/>
        <w:rPr>
          <w:rFonts w:asciiTheme="majorHAnsi" w:eastAsia="Calibri" w:hAnsiTheme="majorHAnsi"/>
          <w:lang w:eastAsia="en-US"/>
        </w:rPr>
      </w:pPr>
      <w:r w:rsidRPr="00CF28A6">
        <w:rPr>
          <w:rFonts w:asciiTheme="majorHAnsi" w:eastAsia="Calibri" w:hAnsiTheme="majorHAnsi"/>
          <w:lang w:eastAsia="en-US"/>
        </w:rPr>
        <w:t>Uszczelnieniem oraz wykończeniem ostatecznym niecki panelowej powinna być basenowa membrana PVC o grubości 1,5mm, zbrojona włóknem szklanym z powłoką akrylową w kolorze niebieskim - jednolitym na dnie basenu i ścianach. Łączenie odcinków membrany w tzw</w:t>
      </w:r>
      <w:r w:rsidR="00021C10">
        <w:rPr>
          <w:rFonts w:asciiTheme="majorHAnsi" w:eastAsia="Calibri" w:hAnsiTheme="majorHAnsi"/>
          <w:lang w:eastAsia="en-US"/>
        </w:rPr>
        <w:t>.</w:t>
      </w:r>
      <w:r w:rsidRPr="00CF28A6">
        <w:rPr>
          <w:rFonts w:asciiTheme="majorHAnsi" w:eastAsia="Calibri" w:hAnsiTheme="majorHAnsi"/>
          <w:lang w:eastAsia="en-US"/>
        </w:rPr>
        <w:t xml:space="preserve"> „szczelny worek ’’ powinno się odbywać poprzez zgrzewanie na zakładkę pasów foli PVC na terenie budowy. Ściany basenu oraz dno basenu wyłożone powinny być zgrzewaną membrana PVC. </w:t>
      </w:r>
    </w:p>
    <w:p w14:paraId="72592D56" w14:textId="77777777" w:rsidR="00CF28A6" w:rsidRPr="00CF28A6" w:rsidRDefault="00CF28A6" w:rsidP="00CF28A6">
      <w:pPr>
        <w:spacing w:after="160" w:line="259" w:lineRule="auto"/>
        <w:jc w:val="both"/>
        <w:rPr>
          <w:rFonts w:asciiTheme="majorHAnsi" w:eastAsia="Calibri" w:hAnsiTheme="majorHAnsi" w:cs="Calibri"/>
          <w:lang w:eastAsia="en-US"/>
        </w:rPr>
      </w:pPr>
      <w:r w:rsidRPr="00CF28A6">
        <w:rPr>
          <w:rFonts w:asciiTheme="majorHAnsi" w:eastAsia="Calibri" w:hAnsiTheme="majorHAnsi" w:cs="Calibri"/>
          <w:lang w:eastAsia="en-US"/>
        </w:rPr>
        <w:t>W skład kompletnego zestawu basenowego wchodzą wszystkie niezbędne rury, zawory, złącza niezbędne do zmontowania systemu filtracji złożonego z filtrów umieszczonych w bezpośrednim sąsiedztwie basenu w pomieszczeniu technicznym.</w:t>
      </w:r>
    </w:p>
    <w:p w14:paraId="622D3F97" w14:textId="77777777" w:rsidR="00CF28A6" w:rsidRPr="00CF28A6" w:rsidRDefault="00CF28A6" w:rsidP="00CF28A6">
      <w:pPr>
        <w:spacing w:after="160" w:line="259" w:lineRule="auto"/>
        <w:jc w:val="both"/>
        <w:rPr>
          <w:rFonts w:asciiTheme="majorHAnsi" w:eastAsia="Calibri" w:hAnsiTheme="majorHAnsi" w:cs="Calibri"/>
          <w:lang w:eastAsia="en-US"/>
        </w:rPr>
      </w:pPr>
      <w:r w:rsidRPr="00CF28A6">
        <w:rPr>
          <w:rFonts w:asciiTheme="majorHAnsi" w:eastAsia="Calibri" w:hAnsiTheme="majorHAnsi" w:cs="Calibri"/>
          <w:lang w:eastAsia="en-US"/>
        </w:rPr>
        <w:lastRenderedPageBreak/>
        <w:t xml:space="preserve">Systemy filtracji, urządzenie dozowania chloru i korektora </w:t>
      </w:r>
      <w:proofErr w:type="spellStart"/>
      <w:r w:rsidRPr="00CF28A6">
        <w:rPr>
          <w:rFonts w:asciiTheme="majorHAnsi" w:eastAsia="Calibri" w:hAnsiTheme="majorHAnsi" w:cs="Calibri"/>
          <w:lang w:eastAsia="en-US"/>
        </w:rPr>
        <w:t>pH</w:t>
      </w:r>
      <w:proofErr w:type="spellEnd"/>
      <w:r w:rsidRPr="00CF28A6">
        <w:rPr>
          <w:rFonts w:asciiTheme="majorHAnsi" w:eastAsia="Calibri" w:hAnsiTheme="majorHAnsi" w:cs="Calibri"/>
          <w:lang w:eastAsia="en-US"/>
        </w:rPr>
        <w:t xml:space="preserve"> zostaną umieszczone w kontenerach technologicznych zbudowanych na obrzeżach pomostów okalających baseny zgodnie z dokumentacją projektową.</w:t>
      </w:r>
    </w:p>
    <w:p w14:paraId="7CED6DBA" w14:textId="77777777" w:rsidR="00CF28A6" w:rsidRPr="00CF28A6" w:rsidRDefault="00CF28A6" w:rsidP="00CF28A6">
      <w:pPr>
        <w:spacing w:line="276" w:lineRule="auto"/>
        <w:jc w:val="both"/>
        <w:rPr>
          <w:rFonts w:asciiTheme="majorHAnsi" w:eastAsia="Calibri" w:hAnsiTheme="majorHAnsi"/>
          <w:lang w:eastAsia="en-US"/>
        </w:rPr>
      </w:pPr>
    </w:p>
    <w:p w14:paraId="3B976BA9" w14:textId="77777777" w:rsidR="00CF28A6" w:rsidRPr="00CF28A6" w:rsidRDefault="00CF28A6" w:rsidP="00CF28A6">
      <w:pPr>
        <w:spacing w:after="160" w:line="276" w:lineRule="auto"/>
        <w:jc w:val="both"/>
        <w:rPr>
          <w:rFonts w:asciiTheme="majorHAnsi" w:eastAsia="Calibri" w:hAnsiTheme="majorHAnsi" w:cs="Calibri"/>
          <w:b/>
          <w:lang w:eastAsia="en-US"/>
        </w:rPr>
      </w:pPr>
      <w:r w:rsidRPr="00CF28A6">
        <w:rPr>
          <w:rFonts w:asciiTheme="majorHAnsi" w:eastAsia="Calibri" w:hAnsiTheme="majorHAnsi" w:cs="Calibri"/>
          <w:b/>
          <w:lang w:eastAsia="en-US"/>
        </w:rPr>
        <w:t>MINIMALNE WYMAGANIA DOTYCZĄCE KONSTRUKCJI NIECKI BASENOWEJ W SYSTEMIE PANELI STALOWYCH SAMONOŚNYCH</w:t>
      </w:r>
    </w:p>
    <w:p w14:paraId="3B0A0C3C"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Materiał z którego wykonane zostały wszystkie elementy składowe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stal galwanizowana FE P 02 G275-NA-CR zgodnie ze standardem PN-EN 10142,</w:t>
      </w:r>
    </w:p>
    <w:p w14:paraId="0B842B79"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Minimalna wymagana grubość materiału z jakiego wykonane są panele i pozostałe elementy składowe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xml:space="preserve">: 2 mm </w:t>
      </w:r>
    </w:p>
    <w:p w14:paraId="688473FB"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Minimalna wymagana grubość w powłoki cynkowej wg normy PN-EN 1461:2009: 55</w:t>
      </w:r>
      <w:r w:rsidRPr="00CF28A6">
        <w:rPr>
          <w:rFonts w:asciiTheme="majorHAnsi" w:eastAsia="Calibri" w:hAnsiTheme="majorHAnsi" w:cs="Arial"/>
          <w:color w:val="545454"/>
          <w:shd w:val="clear" w:color="auto" w:fill="FFFFFF"/>
          <w:lang w:eastAsia="en-US"/>
        </w:rPr>
        <w:t xml:space="preserve"> </w:t>
      </w:r>
      <w:r w:rsidRPr="00CF28A6">
        <w:rPr>
          <w:rFonts w:asciiTheme="majorHAnsi" w:eastAsia="Calibri" w:hAnsiTheme="majorHAnsi" w:cs="Calibri"/>
          <w:lang w:eastAsia="en-US"/>
        </w:rPr>
        <w:t xml:space="preserve">µm </w:t>
      </w:r>
    </w:p>
    <w:p w14:paraId="3C6258C6"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Klasa antypoślizgowości ceramicznej korony basenu wg DIN 51130, DIN 51097: C</w:t>
      </w:r>
    </w:p>
    <w:p w14:paraId="23F46FAF"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Minimalna grubość membrany PVC wg PN-EN 1849 ‐2: 1,5 mm</w:t>
      </w:r>
    </w:p>
    <w:p w14:paraId="736D588C"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Folia antypoślizgowa do wyłożenia ścian krótkich basenu wg PN-EN15288 -1 o grubości min 2 mm o kącie poślizgu min. 28 </w:t>
      </w:r>
      <w:r w:rsidRPr="00CF28A6">
        <w:rPr>
          <w:rFonts w:asciiTheme="majorHAnsi" w:eastAsia="Calibri" w:hAnsiTheme="majorHAnsi" w:cs="Lucida Sans Unicode"/>
          <w:color w:val="222222"/>
          <w:shd w:val="clear" w:color="auto" w:fill="FFFFFF"/>
          <w:lang w:eastAsia="en-US"/>
        </w:rPr>
        <w:t>°</w:t>
      </w:r>
    </w:p>
    <w:p w14:paraId="44EAFA1B"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Membrana PVC o odporności na rozerwanie wg PN-EN 12311-2 : ≥ 18 %</w:t>
      </w:r>
    </w:p>
    <w:p w14:paraId="0589B268" w14:textId="77777777" w:rsidR="00CF28A6" w:rsidRPr="00CF28A6" w:rsidRDefault="00CF28A6" w:rsidP="00CF28A6">
      <w:pPr>
        <w:numPr>
          <w:ilvl w:val="0"/>
          <w:numId w:val="62"/>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Podpory z możliwością regulacji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xml:space="preserve"> w pionie dzięki zastosowaniu specjalnej śruby napinającej umieszczonej w rurze podpory o przekroju prostokątnym, zakres regulacji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xml:space="preserve"> w osi pionowej min.+-30 mm</w:t>
      </w:r>
    </w:p>
    <w:p w14:paraId="0E8DF608"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Śruby kotwiące z możliwością regulacji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xml:space="preserve"> w poziomie  dla krawędzi basenu z tolerancja  ± 2mm</w:t>
      </w:r>
    </w:p>
    <w:p w14:paraId="772457DC"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 xml:space="preserve">Śruby montażowe ze stali cynkowanej lub A4 w klasie </w:t>
      </w:r>
      <w:r w:rsidRPr="00CF28A6">
        <w:rPr>
          <w:rFonts w:asciiTheme="majorHAnsi" w:eastAsia="Calibri" w:hAnsiTheme="majorHAnsi" w:cs="Calibri"/>
          <w:color w:val="000000"/>
          <w:lang w:eastAsia="en-US"/>
        </w:rPr>
        <w:t>8.8</w:t>
      </w:r>
    </w:p>
    <w:p w14:paraId="484B93A6"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proofErr w:type="spellStart"/>
      <w:r w:rsidRPr="00CF28A6">
        <w:rPr>
          <w:rFonts w:asciiTheme="majorHAnsi" w:eastAsia="Calibri" w:hAnsiTheme="majorHAnsi" w:cs="Calibri"/>
          <w:lang w:eastAsia="en-US"/>
        </w:rPr>
        <w:t>Kotwienia</w:t>
      </w:r>
      <w:proofErr w:type="spellEnd"/>
      <w:r w:rsidRPr="00CF28A6">
        <w:rPr>
          <w:rFonts w:asciiTheme="majorHAnsi" w:eastAsia="Calibri" w:hAnsiTheme="majorHAnsi" w:cs="Calibri"/>
          <w:lang w:eastAsia="en-US"/>
        </w:rPr>
        <w:t xml:space="preserve"> </w:t>
      </w:r>
      <w:proofErr w:type="spellStart"/>
      <w:r w:rsidRPr="00CF28A6">
        <w:rPr>
          <w:rFonts w:asciiTheme="majorHAnsi" w:eastAsia="Calibri" w:hAnsiTheme="majorHAnsi" w:cs="Calibri"/>
          <w:lang w:eastAsia="en-US"/>
        </w:rPr>
        <w:t>panela</w:t>
      </w:r>
      <w:proofErr w:type="spellEnd"/>
      <w:r w:rsidRPr="00CF28A6">
        <w:rPr>
          <w:rFonts w:asciiTheme="majorHAnsi" w:eastAsia="Calibri" w:hAnsiTheme="majorHAnsi" w:cs="Calibri"/>
          <w:lang w:eastAsia="en-US"/>
        </w:rPr>
        <w:t xml:space="preserve"> bezpośrednio do płyty dennej basenu dzięki otworom w płaszczu dolnym </w:t>
      </w:r>
      <w:proofErr w:type="spellStart"/>
      <w:r w:rsidRPr="00CF28A6">
        <w:rPr>
          <w:rFonts w:asciiTheme="majorHAnsi" w:eastAsia="Calibri" w:hAnsiTheme="majorHAnsi" w:cs="Calibri"/>
          <w:lang w:eastAsia="en-US"/>
        </w:rPr>
        <w:t>panela</w:t>
      </w:r>
      <w:proofErr w:type="spellEnd"/>
    </w:p>
    <w:p w14:paraId="166C238B"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proofErr w:type="spellStart"/>
      <w:r w:rsidRPr="00CF28A6">
        <w:rPr>
          <w:rFonts w:asciiTheme="majorHAnsi" w:eastAsia="Calibri" w:hAnsiTheme="majorHAnsi" w:cs="Calibri"/>
          <w:lang w:eastAsia="en-US"/>
        </w:rPr>
        <w:t>Kotwienie</w:t>
      </w:r>
      <w:proofErr w:type="spellEnd"/>
      <w:r w:rsidRPr="00CF28A6">
        <w:rPr>
          <w:rFonts w:asciiTheme="majorHAnsi" w:eastAsia="Calibri" w:hAnsiTheme="majorHAnsi" w:cs="Calibri"/>
          <w:lang w:eastAsia="en-US"/>
        </w:rPr>
        <w:t xml:space="preserve"> paneli i podpór na kołki min M12 z masą chemiczną z możliwością regulacji </w:t>
      </w:r>
      <w:r w:rsidRPr="00CF28A6">
        <w:rPr>
          <w:rFonts w:asciiTheme="majorHAnsi" w:eastAsia="Calibri" w:hAnsiTheme="majorHAnsi" w:cs="Calibri"/>
          <w:lang w:eastAsia="en-US"/>
        </w:rPr>
        <w:br/>
        <w:t xml:space="preserve">w poziomie </w:t>
      </w:r>
    </w:p>
    <w:p w14:paraId="4D9C55F9" w14:textId="77777777" w:rsidR="00CF28A6" w:rsidRPr="00CF28A6" w:rsidRDefault="00CF28A6" w:rsidP="00CF28A6">
      <w:pPr>
        <w:numPr>
          <w:ilvl w:val="0"/>
          <w:numId w:val="61"/>
        </w:numPr>
        <w:spacing w:after="160" w:line="276" w:lineRule="auto"/>
        <w:contextualSpacing/>
        <w:jc w:val="both"/>
        <w:rPr>
          <w:rFonts w:asciiTheme="majorHAnsi" w:eastAsia="Calibri" w:hAnsiTheme="majorHAnsi" w:cs="Calibri"/>
          <w:lang w:eastAsia="en-US"/>
        </w:rPr>
      </w:pPr>
      <w:r w:rsidRPr="00CF28A6">
        <w:rPr>
          <w:rFonts w:asciiTheme="majorHAnsi" w:eastAsia="Calibri" w:hAnsiTheme="majorHAnsi" w:cs="Calibri"/>
          <w:lang w:eastAsia="en-US"/>
        </w:rPr>
        <w:t>Panele ze wzmocnieniem poziomym i pionowym mocowane przez spawanie od strony zewnętrznej</w:t>
      </w:r>
    </w:p>
    <w:p w14:paraId="4B0ABBF4" w14:textId="77777777" w:rsidR="00CF28A6" w:rsidRDefault="00CF28A6" w:rsidP="001B75A2">
      <w:pPr>
        <w:spacing w:line="252" w:lineRule="auto"/>
        <w:ind w:left="360"/>
        <w:contextualSpacing/>
        <w:jc w:val="both"/>
        <w:rPr>
          <w:rFonts w:asciiTheme="majorHAnsi" w:eastAsiaTheme="majorEastAsia" w:hAnsiTheme="majorHAnsi" w:cstheme="majorBidi"/>
          <w:lang w:eastAsia="en-US"/>
        </w:rPr>
      </w:pPr>
    </w:p>
    <w:p w14:paraId="3897D092" w14:textId="52EB02BF" w:rsidR="00021C10" w:rsidRDefault="00021C10" w:rsidP="00021C10">
      <w:pPr>
        <w:spacing w:line="252" w:lineRule="auto"/>
        <w:ind w:left="360" w:hanging="360"/>
        <w:contextualSpacing/>
        <w:jc w:val="both"/>
        <w:rPr>
          <w:rFonts w:asciiTheme="majorHAnsi" w:eastAsiaTheme="majorEastAsia" w:hAnsiTheme="majorHAnsi" w:cstheme="majorBidi"/>
          <w:b/>
          <w:lang w:eastAsia="en-US"/>
        </w:rPr>
      </w:pPr>
      <w:r w:rsidRPr="00021C10">
        <w:rPr>
          <w:rFonts w:asciiTheme="majorHAnsi" w:eastAsiaTheme="majorEastAsia" w:hAnsiTheme="majorHAnsi" w:cstheme="majorBidi"/>
          <w:b/>
          <w:lang w:eastAsia="en-US"/>
        </w:rPr>
        <w:t>NIECKI MUSZĄ SPEŁNIAĆ WYMOGI PRZEZNACZENIA DLA BASENÓW PUBLICZNYCH.</w:t>
      </w:r>
    </w:p>
    <w:p w14:paraId="278CE2F8" w14:textId="77777777" w:rsidR="00075654" w:rsidRDefault="00075654" w:rsidP="00021C10">
      <w:pPr>
        <w:spacing w:line="252" w:lineRule="auto"/>
        <w:ind w:left="360" w:hanging="360"/>
        <w:contextualSpacing/>
        <w:jc w:val="both"/>
        <w:rPr>
          <w:rFonts w:asciiTheme="majorHAnsi" w:eastAsiaTheme="majorEastAsia" w:hAnsiTheme="majorHAnsi" w:cstheme="majorBidi"/>
          <w:b/>
          <w:lang w:eastAsia="en-US"/>
        </w:rPr>
      </w:pPr>
    </w:p>
    <w:p w14:paraId="33294FE6" w14:textId="4BE7D32A" w:rsidR="00021C10" w:rsidRDefault="00075654" w:rsidP="00075654">
      <w:pPr>
        <w:spacing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Zamawiający informuje, że do kalkulacji ceny nie należy wliczać kosztów systemu podgrzewania wody- jest to opcja fakultatywna.</w:t>
      </w:r>
    </w:p>
    <w:p w14:paraId="166215B7" w14:textId="77777777" w:rsidR="00075654" w:rsidRPr="00FF2F24" w:rsidRDefault="00075654" w:rsidP="00021C10">
      <w:pPr>
        <w:spacing w:line="252" w:lineRule="auto"/>
        <w:ind w:left="360" w:hanging="360"/>
        <w:contextualSpacing/>
        <w:jc w:val="both"/>
        <w:rPr>
          <w:rFonts w:asciiTheme="majorHAnsi" w:eastAsiaTheme="majorEastAsia" w:hAnsiTheme="majorHAnsi" w:cstheme="majorBidi"/>
          <w:lang w:eastAsia="en-US"/>
        </w:rPr>
      </w:pPr>
    </w:p>
    <w:p w14:paraId="7953F6B7" w14:textId="3162F2E1" w:rsidR="0086693A" w:rsidRPr="00685640" w:rsidRDefault="00EC45FB" w:rsidP="0069216D">
      <w:pPr>
        <w:widowControl w:val="0"/>
        <w:numPr>
          <w:ilvl w:val="0"/>
          <w:numId w:val="8"/>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6715F337" w14:textId="5630A0FB" w:rsidR="00685640" w:rsidRDefault="00685640" w:rsidP="00685640">
      <w:pPr>
        <w:widowControl w:val="0"/>
        <w:spacing w:after="200" w:line="252" w:lineRule="auto"/>
        <w:ind w:left="360"/>
        <w:contextualSpacing/>
        <w:jc w:val="both"/>
        <w:rPr>
          <w:rFonts w:asciiTheme="majorHAnsi" w:eastAsiaTheme="majorEastAsia" w:hAnsiTheme="majorHAnsi" w:cstheme="majorBidi"/>
          <w:u w:val="single"/>
          <w:lang w:eastAsia="en-US"/>
        </w:rPr>
      </w:pPr>
      <w:r w:rsidRPr="00685640">
        <w:rPr>
          <w:rFonts w:asciiTheme="majorHAnsi" w:eastAsiaTheme="majorEastAsia" w:hAnsiTheme="majorHAnsi" w:cstheme="majorBidi"/>
          <w:u w:val="single"/>
          <w:lang w:eastAsia="en-US"/>
        </w:rPr>
        <w:t>Kod główny:</w:t>
      </w:r>
    </w:p>
    <w:p w14:paraId="71DC54EF" w14:textId="704A581B"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45212000-6 Roboty budowlane w zakresie budowy wypoczynkowych, sportowych, kulturalnych, hotelowych i restauracyjnych obiektów budowlanych</w:t>
      </w:r>
    </w:p>
    <w:p w14:paraId="2CB35B8C"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45000000-7 Prace budowlane</w:t>
      </w:r>
    </w:p>
    <w:p w14:paraId="77CBD41C"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u w:val="single"/>
          <w:lang w:eastAsia="en-US"/>
        </w:rPr>
      </w:pPr>
      <w:r w:rsidRPr="001A5982">
        <w:rPr>
          <w:rFonts w:asciiTheme="majorHAnsi" w:eastAsiaTheme="majorEastAsia" w:hAnsiTheme="majorHAnsi" w:cstheme="majorBidi"/>
          <w:u w:val="single"/>
          <w:lang w:eastAsia="en-US"/>
        </w:rPr>
        <w:t>Grupa</w:t>
      </w:r>
    </w:p>
    <w:p w14:paraId="61953699"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lastRenderedPageBreak/>
        <w:t>45200000-9 Wznoszenie kompletnych obiektów budowlanych</w:t>
      </w:r>
    </w:p>
    <w:p w14:paraId="345C724F"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45300000-0 Roboty w zakresie instalacji budowlanych</w:t>
      </w:r>
    </w:p>
    <w:p w14:paraId="599A1BA9"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45400000-1 Roboty wykończeniowe w zakresie obiektów budowlanych</w:t>
      </w:r>
    </w:p>
    <w:p w14:paraId="08240FDE"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u w:val="single"/>
          <w:lang w:eastAsia="en-US"/>
        </w:rPr>
      </w:pPr>
      <w:r w:rsidRPr="001A5982">
        <w:rPr>
          <w:rFonts w:asciiTheme="majorHAnsi" w:eastAsiaTheme="majorEastAsia" w:hAnsiTheme="majorHAnsi" w:cstheme="majorBidi"/>
          <w:u w:val="single"/>
          <w:lang w:eastAsia="en-US"/>
        </w:rPr>
        <w:t>Klasa</w:t>
      </w:r>
    </w:p>
    <w:p w14:paraId="6A817995"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45330000-9 Hydraulika i roboty sanitarne</w:t>
      </w:r>
    </w:p>
    <w:p w14:paraId="04224357"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 xml:space="preserve">45320000-6 Roboty izolacyjne </w:t>
      </w:r>
    </w:p>
    <w:p w14:paraId="317E1DE6"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45431000-7 Okładziny z płytek ceramicznych i gresowych</w:t>
      </w:r>
    </w:p>
    <w:p w14:paraId="4E4DCA5C" w14:textId="77777777" w:rsidR="001A5982" w:rsidRPr="001A5982" w:rsidRDefault="001A5982" w:rsidP="001A5982">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45440000-3 Roboty malarskie i szklarskie</w:t>
      </w:r>
    </w:p>
    <w:p w14:paraId="05F6EB06" w14:textId="48AF624F" w:rsidR="001A5982" w:rsidRPr="001A5982" w:rsidRDefault="001A5982" w:rsidP="00685640">
      <w:pPr>
        <w:widowControl w:val="0"/>
        <w:spacing w:after="200" w:line="252" w:lineRule="auto"/>
        <w:ind w:left="360"/>
        <w:contextualSpacing/>
        <w:jc w:val="both"/>
        <w:rPr>
          <w:rFonts w:asciiTheme="majorHAnsi" w:eastAsiaTheme="majorEastAsia" w:hAnsiTheme="majorHAnsi" w:cstheme="majorBidi"/>
          <w:lang w:eastAsia="en-US"/>
        </w:rPr>
      </w:pPr>
      <w:r w:rsidRPr="001A5982">
        <w:rPr>
          <w:rFonts w:asciiTheme="majorHAnsi" w:eastAsiaTheme="majorEastAsia" w:hAnsiTheme="majorHAnsi" w:cstheme="majorBidi"/>
          <w:lang w:eastAsia="en-US"/>
        </w:rPr>
        <w:t>45310000-3 Roboty instalacji elektrycznych</w:t>
      </w:r>
    </w:p>
    <w:p w14:paraId="3514FDBB" w14:textId="1558AC99" w:rsidR="00AA4F20" w:rsidRPr="00773D17" w:rsidRDefault="00AA4F20" w:rsidP="0069216D">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720C4B8" w14:textId="65D012C8" w:rsidR="00AA4F20" w:rsidRDefault="00AB0388"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424E8">
        <w:rPr>
          <w:rFonts w:asciiTheme="majorHAnsi" w:eastAsiaTheme="majorEastAsia" w:hAnsiTheme="majorHAnsi" w:cstheme="majorBidi"/>
          <w:lang w:eastAsia="en-US"/>
        </w:rPr>
        <w:t>9</w:t>
      </w:r>
      <w:r w:rsidR="00CF11B9">
        <w:rPr>
          <w:rFonts w:asciiTheme="majorHAnsi" w:eastAsiaTheme="majorEastAsia" w:hAnsiTheme="majorHAnsi" w:cstheme="majorBidi"/>
          <w:lang w:eastAsia="en-US"/>
        </w:rPr>
        <w:t xml:space="preserve"> do SWZ;</w:t>
      </w:r>
    </w:p>
    <w:p w14:paraId="52773717" w14:textId="42894D7D" w:rsidR="00E9419B" w:rsidRDefault="00E9419B"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promesa wstępna- załącznik nr 11 do SWZ;</w:t>
      </w:r>
    </w:p>
    <w:p w14:paraId="28C9A9B3" w14:textId="7A2A541B" w:rsidR="00CF11B9" w:rsidRDefault="00CF11B9"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decyzja- pozwolenie na budowę- załącznik nr 1</w:t>
      </w:r>
      <w:r w:rsidR="00F424E8">
        <w:rPr>
          <w:rFonts w:asciiTheme="majorHAnsi" w:eastAsiaTheme="majorEastAsia" w:hAnsiTheme="majorHAnsi" w:cstheme="majorBidi"/>
          <w:lang w:eastAsia="en-US"/>
        </w:rPr>
        <w:t xml:space="preserve">0 </w:t>
      </w:r>
      <w:r w:rsidR="001A6ED6">
        <w:rPr>
          <w:rFonts w:asciiTheme="majorHAnsi" w:eastAsiaTheme="majorEastAsia" w:hAnsiTheme="majorHAnsi" w:cstheme="majorBidi"/>
          <w:lang w:eastAsia="en-US"/>
        </w:rPr>
        <w:t>do SWZ,</w:t>
      </w:r>
    </w:p>
    <w:p w14:paraId="331CFD33" w14:textId="34961BF3" w:rsidR="001A6ED6" w:rsidRPr="001A6ED6" w:rsidRDefault="001A6ED6" w:rsidP="00C0716E">
      <w:pPr>
        <w:numPr>
          <w:ilvl w:val="0"/>
          <w:numId w:val="4"/>
        </w:numPr>
        <w:spacing w:after="200" w:line="252" w:lineRule="auto"/>
        <w:ind w:firstLine="66"/>
        <w:contextualSpacing/>
        <w:jc w:val="both"/>
        <w:rPr>
          <w:rFonts w:asciiTheme="majorHAnsi" w:eastAsiaTheme="majorEastAsia" w:hAnsiTheme="majorHAnsi" w:cstheme="majorBidi"/>
          <w:bCs/>
          <w:lang w:eastAsia="en-US"/>
        </w:rPr>
      </w:pPr>
      <w:r w:rsidRPr="001A6ED6">
        <w:rPr>
          <w:rFonts w:asciiTheme="majorHAnsi" w:eastAsiaTheme="majorEastAsia" w:hAnsiTheme="majorHAnsi" w:cstheme="majorBidi"/>
          <w:lang w:eastAsia="en-US"/>
        </w:rPr>
        <w:t>dokumentacja projektowa</w:t>
      </w:r>
      <w:r w:rsidR="00CE65DA">
        <w:rPr>
          <w:rFonts w:asciiTheme="majorHAnsi" w:eastAsiaTheme="majorEastAsia" w:hAnsiTheme="majorHAnsi" w:cstheme="majorBidi"/>
          <w:lang w:eastAsia="en-US"/>
        </w:rPr>
        <w:t xml:space="preserve"> wraz z opinią geotechniczną</w:t>
      </w:r>
      <w:r w:rsidRPr="001A6ED6">
        <w:rPr>
          <w:rFonts w:asciiTheme="majorHAnsi" w:eastAsiaTheme="majorEastAsia" w:hAnsiTheme="majorHAnsi" w:cstheme="majorBidi"/>
          <w:lang w:eastAsia="en-US"/>
        </w:rPr>
        <w:t>- załącz</w:t>
      </w:r>
      <w:r w:rsidR="00CE65DA">
        <w:rPr>
          <w:rFonts w:asciiTheme="majorHAnsi" w:eastAsiaTheme="majorEastAsia" w:hAnsiTheme="majorHAnsi" w:cstheme="majorBidi"/>
          <w:lang w:eastAsia="en-US"/>
        </w:rPr>
        <w:t>niki 1</w:t>
      </w:r>
      <w:r w:rsidR="00E9419B">
        <w:rPr>
          <w:rFonts w:asciiTheme="majorHAnsi" w:eastAsiaTheme="majorEastAsia" w:hAnsiTheme="majorHAnsi" w:cstheme="majorBidi"/>
          <w:lang w:eastAsia="en-US"/>
        </w:rPr>
        <w:t>2</w:t>
      </w:r>
      <w:r w:rsidR="00CE65DA">
        <w:rPr>
          <w:rFonts w:asciiTheme="majorHAnsi" w:eastAsiaTheme="majorEastAsia" w:hAnsiTheme="majorHAnsi" w:cstheme="majorBidi"/>
          <w:lang w:eastAsia="en-US"/>
        </w:rPr>
        <w:t>-2</w:t>
      </w:r>
      <w:r w:rsidR="00E9419B">
        <w:rPr>
          <w:rFonts w:asciiTheme="majorHAnsi" w:eastAsiaTheme="majorEastAsia" w:hAnsiTheme="majorHAnsi" w:cstheme="majorBidi"/>
          <w:lang w:eastAsia="en-US"/>
        </w:rPr>
        <w:t>2</w:t>
      </w:r>
      <w:r w:rsidR="00E80E20">
        <w:rPr>
          <w:rFonts w:asciiTheme="majorHAnsi" w:eastAsiaTheme="majorEastAsia" w:hAnsiTheme="majorHAnsi" w:cstheme="majorBidi"/>
          <w:lang w:eastAsia="en-US"/>
        </w:rPr>
        <w:t xml:space="preserve"> do SWZ.</w:t>
      </w:r>
    </w:p>
    <w:p w14:paraId="51383541" w14:textId="77777777" w:rsidR="005F1760" w:rsidRPr="005F1760" w:rsidRDefault="005F1760" w:rsidP="00C0716E">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4C08402C"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 W ramach podziału robót należy w pierwszej kolejności wyodrębnić roboty wykonywane siłami własnymi oraz roboty wykonywane przez podwykonawców na podstawie umów o podwykonawstwo. Harmonogram powinien być wykonany w takim stopniu szczegółowości, aby Zamawiający miał możliwość wyodrębnienia z harmonogramu rodzaju i wartości robót, które zostaną powierzone Podwykonawcy.</w:t>
      </w:r>
      <w:r w:rsidR="002016A0">
        <w:rPr>
          <w:rFonts w:asciiTheme="majorHAnsi" w:eastAsiaTheme="majorEastAsia" w:hAnsiTheme="majorHAnsi" w:cstheme="majorBidi"/>
          <w:b/>
          <w:lang w:eastAsia="en-US"/>
        </w:rPr>
        <w:t xml:space="preserve"> Powyższe dotyczy kolejnych aktualizacji, gdy będą konieczne.</w:t>
      </w:r>
    </w:p>
    <w:p w14:paraId="39F6F83D" w14:textId="3689B003"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Wykonanie robót będzie się uważać za zakończone - odbiór końcowy, jeżeli odbiór nastąpi bez wad istotnych, zostaną zakończone wszystkie prace wchodzące w </w:t>
      </w:r>
      <w:r w:rsidRPr="005F1760">
        <w:rPr>
          <w:rFonts w:asciiTheme="majorHAnsi" w:eastAsiaTheme="majorEastAsia" w:hAnsiTheme="majorHAnsi" w:cstheme="majorBidi"/>
          <w:lang w:eastAsia="en-US"/>
        </w:rPr>
        <w:lastRenderedPageBreak/>
        <w:t>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CE65DA">
        <w:rPr>
          <w:rFonts w:asciiTheme="majorHAnsi" w:eastAsiaTheme="majorEastAsia" w:hAnsiTheme="majorHAnsi" w:cstheme="majorBidi"/>
          <w:lang w:eastAsia="en-US"/>
        </w:rPr>
        <w:t xml:space="preserve"> oraz wykonawca uzyska ostateczne pozwolenie na użytkowanie obiektu.</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40BAE2F"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ma obowiązek posiadać w stosunku do użytych materiałów, wyposażenia i urządzeń dokumenty potwierdzające pozwolenie na zastosowanie/ wbudowanie. </w:t>
      </w:r>
      <w:r w:rsidRPr="00756680">
        <w:rPr>
          <w:rFonts w:asciiTheme="majorHAnsi" w:eastAsiaTheme="majorEastAsia" w:hAnsiTheme="majorHAnsi" w:cstheme="majorBidi"/>
          <w:b/>
          <w:u w:val="single"/>
          <w:lang w:eastAsia="en-US"/>
        </w:rPr>
        <w:t>Dokumentami mogą być certyfikaty wydane przez jednostkę oceniającą zgodność</w:t>
      </w:r>
      <w:r w:rsidR="00E55F1B" w:rsidRPr="00756680">
        <w:rPr>
          <w:rFonts w:asciiTheme="majorHAnsi" w:eastAsiaTheme="majorEastAsia" w:hAnsiTheme="majorHAnsi" w:cstheme="majorBidi"/>
          <w:b/>
          <w:u w:val="single"/>
          <w:lang w:eastAsia="en-US"/>
        </w:rPr>
        <w:t>, świadectwa jakości, atesty itp. które należy dołączyć do dokumentacji odbiorowej.</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w:t>
      </w:r>
      <w:r w:rsidRPr="004870ED">
        <w:rPr>
          <w:rFonts w:asciiTheme="majorHAnsi" w:eastAsiaTheme="majorEastAsia" w:hAnsiTheme="majorHAnsi" w:cstheme="majorBidi"/>
          <w:lang w:eastAsia="en-US"/>
        </w:rPr>
        <w:lastRenderedPageBreak/>
        <w:t xml:space="preserve">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093705BC"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376671" w:rsidRPr="00376671">
        <w:rPr>
          <w:rFonts w:asciiTheme="majorHAnsi" w:hAnsiTheme="majorHAnsi"/>
        </w:rPr>
        <w:t xml:space="preserve">pracowników wykonujących następujące czynności związane z robotami budowlanymi w trakcie trwania realizacji przedmiotu zamówienia: </w:t>
      </w:r>
      <w:r w:rsidR="00376671" w:rsidRPr="00756680">
        <w:rPr>
          <w:rFonts w:asciiTheme="majorHAnsi" w:hAnsiTheme="majorHAnsi"/>
          <w:b/>
          <w:u w:val="single"/>
        </w:rPr>
        <w:t>czynności fizyczne i obsługę maszyn przy robotach ziemnych, elektrycznych i związanych z montażem, w ilości osób niezbędnej do realizacji przedmiotu zamówienia.</w:t>
      </w:r>
      <w:r w:rsidR="00376671" w:rsidRPr="00376671">
        <w:rPr>
          <w:rFonts w:asciiTheme="majorHAnsi" w:hAnsiTheme="majorHAnsi"/>
        </w:rPr>
        <w:t xml:space="preserve"> Obowiązek ten nie dotyczy osób pełniących samodzielne funkcje techniczne w budownictwie, takich jak: kierownik budowy/ kierownik robót, projektanci, osoby wykonujące obsługę 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t>
      </w:r>
      <w:r>
        <w:rPr>
          <w:rFonts w:asciiTheme="majorHAnsi" w:hAnsiTheme="majorHAnsi"/>
        </w:rPr>
        <w:lastRenderedPageBreak/>
        <w:t>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5786C89E"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17FE4">
        <w:rPr>
          <w:rFonts w:asciiTheme="majorHAnsi" w:eastAsiaTheme="majorEastAsia" w:hAnsiTheme="majorHAnsi" w:cstheme="majorBidi"/>
          <w:b/>
          <w:lang w:eastAsia="en-US"/>
        </w:rPr>
        <w:t>90</w:t>
      </w:r>
      <w:r w:rsidR="004C17CD">
        <w:rPr>
          <w:rFonts w:asciiTheme="majorHAnsi" w:eastAsiaTheme="majorEastAsia" w:hAnsiTheme="majorHAnsi" w:cstheme="majorBidi"/>
          <w:b/>
          <w:lang w:eastAsia="en-US"/>
        </w:rPr>
        <w:t xml:space="preserve"> dni od dnia podpisania umowy, łącznie z pozwoleniem na użytkowanie.</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3FB46388" w:rsidR="002A0F78" w:rsidRPr="00536C65" w:rsidRDefault="00536C65"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 xml:space="preserve">W celu potwierdzenia spełnienia warunku Wykonawca musi wykazać, że posiada środki finansowe lub </w:t>
      </w:r>
      <w:r w:rsidR="00F70D5B">
        <w:rPr>
          <w:rFonts w:asciiTheme="majorHAnsi" w:eastAsiaTheme="majorEastAsia" w:hAnsiTheme="majorHAnsi" w:cstheme="majorBidi"/>
          <w:color w:val="000000" w:themeColor="text1"/>
          <w:lang w:eastAsia="en-US"/>
        </w:rPr>
        <w:t>zdolność kredytową w wysokości 1.0</w:t>
      </w:r>
      <w:r>
        <w:rPr>
          <w:rFonts w:asciiTheme="majorHAnsi" w:eastAsiaTheme="majorEastAsia" w:hAnsiTheme="majorHAnsi" w:cstheme="majorBidi"/>
          <w:color w:val="000000" w:themeColor="text1"/>
          <w:lang w:eastAsia="en-US"/>
        </w:rPr>
        <w:t>00.000,00 zł.</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6D9BE8D7" w14:textId="486755AE" w:rsidR="00F22110"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w okresie ostatnich pięciu lat, a jeżeli okres prowadzenia działalności jest krótszy- w tym okresie, wykonał należycie co najmniej jedną robotę budo</w:t>
      </w:r>
      <w:r w:rsidR="0074296A">
        <w:rPr>
          <w:rFonts w:asciiTheme="majorHAnsi" w:eastAsiaTheme="majorEastAsia" w:hAnsiTheme="majorHAnsi" w:cstheme="majorBidi"/>
          <w:lang w:eastAsia="en-US"/>
        </w:rPr>
        <w:t xml:space="preserve">wlaną polegającą na budowie, </w:t>
      </w:r>
      <w:r>
        <w:rPr>
          <w:rFonts w:asciiTheme="majorHAnsi" w:eastAsiaTheme="majorEastAsia" w:hAnsiTheme="majorHAnsi" w:cstheme="majorBidi"/>
          <w:lang w:eastAsia="en-US"/>
        </w:rPr>
        <w:t>przebudowie</w:t>
      </w:r>
      <w:r w:rsidR="0074296A">
        <w:rPr>
          <w:rFonts w:asciiTheme="majorHAnsi" w:eastAsiaTheme="majorEastAsia" w:hAnsiTheme="majorHAnsi" w:cstheme="majorBidi"/>
          <w:lang w:eastAsia="en-US"/>
        </w:rPr>
        <w:t>, rozbudowie</w:t>
      </w:r>
      <w:r>
        <w:rPr>
          <w:rFonts w:asciiTheme="majorHAnsi" w:eastAsiaTheme="majorEastAsia" w:hAnsiTheme="majorHAnsi" w:cstheme="majorBidi"/>
          <w:lang w:eastAsia="en-US"/>
        </w:rPr>
        <w:t xml:space="preserve"> </w:t>
      </w:r>
      <w:r w:rsidR="0074296A">
        <w:rPr>
          <w:rFonts w:asciiTheme="majorHAnsi" w:eastAsiaTheme="majorEastAsia" w:hAnsiTheme="majorHAnsi" w:cstheme="majorBidi"/>
          <w:lang w:eastAsia="en-US"/>
        </w:rPr>
        <w:t>obiektu basenowego o łącznej powierzchni lustra wody co najmniej 500 m</w:t>
      </w:r>
      <w:r w:rsidR="0074296A">
        <w:rPr>
          <w:rFonts w:asciiTheme="majorHAnsi" w:eastAsiaTheme="majorEastAsia" w:hAnsiTheme="majorHAnsi" w:cstheme="majorBidi"/>
          <w:vertAlign w:val="superscript"/>
          <w:lang w:eastAsia="en-US"/>
        </w:rPr>
        <w:t xml:space="preserve">2 </w:t>
      </w:r>
      <w:r w:rsidR="0074296A">
        <w:rPr>
          <w:rFonts w:asciiTheme="majorHAnsi" w:eastAsiaTheme="majorEastAsia" w:hAnsiTheme="majorHAnsi" w:cstheme="majorBidi"/>
          <w:lang w:eastAsia="en-US"/>
        </w:rPr>
        <w:t xml:space="preserve">i głębokości min. 0,5 m. </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08D02EA4" w:rsidR="00F91998" w:rsidRPr="00F377E0"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t>-</w:t>
      </w:r>
      <w:r w:rsidR="00D36AA5" w:rsidRPr="00F377E0">
        <w:rPr>
          <w:rFonts w:asciiTheme="majorHAnsi" w:eastAsiaTheme="majorEastAsia" w:hAnsiTheme="majorHAnsi" w:cstheme="majorBidi"/>
          <w:lang w:eastAsia="en-US"/>
        </w:rPr>
        <w:t>co najmniej 1 osoba pełniąca funkcję kierownika budowy posiadająca uprawnienia budowlane do kierowania robotami w specjalności konstrukcyjno- budowlanej</w:t>
      </w:r>
      <w:r w:rsidRPr="00F377E0">
        <w:rPr>
          <w:rFonts w:asciiTheme="majorHAnsi" w:eastAsiaTheme="majorEastAsia" w:hAnsiTheme="majorHAnsi" w:cstheme="majorBidi"/>
          <w:lang w:eastAsia="en-US"/>
        </w:rPr>
        <w:t xml:space="preserve"> oraz aktualny wpis do Polskiej Izby Inżynierów </w:t>
      </w:r>
      <w:r w:rsidR="00D36AA5" w:rsidRPr="00F377E0">
        <w:rPr>
          <w:rFonts w:asciiTheme="majorHAnsi" w:eastAsiaTheme="majorEastAsia" w:hAnsiTheme="majorHAnsi" w:cstheme="majorBidi"/>
          <w:lang w:eastAsia="en-US"/>
        </w:rPr>
        <w:t>Budownictwa;</w:t>
      </w:r>
    </w:p>
    <w:p w14:paraId="3D312E90" w14:textId="719EBBF6" w:rsidR="00D36AA5" w:rsidRDefault="00D36AA5" w:rsidP="00F377E0">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t>- co najmniej 1 osoba pełniąca funkcję kierownika robót sanitarnych, która będzie posiadała uprawnienia do pełnienia samodzielnych funkcji w budownictwie uprawniających do kierowania robotami budowlanymi w specjalności instalacyjnej w zakresie sieci, instalacji i urządzeń cieplnych, wentylacyjnych, gazowych, wodociągowych i kanalizacyjnych</w:t>
      </w:r>
      <w:r w:rsidR="00F377E0" w:rsidRPr="00F377E0">
        <w:rPr>
          <w:rFonts w:asciiTheme="majorHAnsi" w:eastAsiaTheme="majorEastAsia" w:hAnsiTheme="majorHAnsi" w:cstheme="majorBidi"/>
          <w:lang w:eastAsia="en-US"/>
        </w:rPr>
        <w:t xml:space="preserve"> oraz aktualny wpis do Polskiej Izby Inżynierów Budownictwa;</w:t>
      </w:r>
    </w:p>
    <w:p w14:paraId="6E2DD9A7" w14:textId="69466F97" w:rsidR="00E9095A" w:rsidRPr="00F377E0" w:rsidRDefault="00E9095A" w:rsidP="00F377E0">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co najmniej 1 osoba pełniąca funkcję kierownika robót elektrycznych, która będzie posiadała uprawnienia do pełnienia samodzielnych funkcji w budownictwie uprawniające do kierowania robotami budowlanymi w specjalności instalacyjnej w zakresie instalacji i urządzeń elektrycznych i elektroenergetycznych oraz aktualny wpis do Polskiej Izby Inżynierów Budownictwa</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68DC8976"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 xml:space="preserve">ca 1994 r. Prawo budowlane (Dz.U. 2020 poz. </w:t>
      </w:r>
      <w:r w:rsidR="004017FA" w:rsidRPr="000C34D6">
        <w:rPr>
          <w:rFonts w:asciiTheme="majorHAnsi" w:eastAsiaTheme="majorEastAsia" w:hAnsiTheme="majorHAnsi" w:cstheme="majorBidi"/>
          <w:lang w:eastAsia="en-US"/>
        </w:rPr>
        <w:t xml:space="preserve">1333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278E19DD"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Dopuszcza się łączenie funkcji w różnych specjalnościach, o ile osoby te będą posiadały stosowne uprawnienia budowalne. W przypadku składania oferty wspólnej, Zamawiający uzna warunek za spełniony, jeśli spełni go jeden z Wykonawców lub spełnią go łącznie wszyscy Wykonawcy składający ofertę wspólną.</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 xml:space="preserve">który w sposób zawiniony poważnie naruszył obowiązki zawodowe, co podważa jego uczciwość, w szczególności gdy wykonawca w wyniku zamierzonego działania </w:t>
      </w:r>
      <w:r w:rsidRPr="00165E2F">
        <w:rPr>
          <w:rFonts w:asciiTheme="majorHAnsi" w:eastAsiaTheme="majorEastAsia" w:hAnsiTheme="majorHAnsi" w:cstheme="majorBidi"/>
          <w:color w:val="000000" w:themeColor="text1"/>
          <w:lang w:eastAsia="en-US"/>
        </w:rPr>
        <w:lastRenderedPageBreak/>
        <w:t>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w:t>
      </w:r>
      <w:r w:rsidRPr="00221C50">
        <w:rPr>
          <w:rFonts w:ascii="Cambria" w:hAnsi="Cambria"/>
          <w:color w:val="000000" w:themeColor="text1"/>
        </w:rPr>
        <w:lastRenderedPageBreak/>
        <w:t>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lastRenderedPageBreak/>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lastRenderedPageBreak/>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761FE5BF" w14:textId="3A9245A6" w:rsidR="00543BA3" w:rsidRDefault="00543BA3" w:rsidP="008C094C">
      <w:pPr>
        <w:pStyle w:val="Akapitzlist"/>
        <w:numPr>
          <w:ilvl w:val="0"/>
          <w:numId w:val="56"/>
        </w:numPr>
        <w:jc w:val="both"/>
        <w:rPr>
          <w:rFonts w:asciiTheme="majorHAnsi" w:hAnsiTheme="majorHAnsi"/>
        </w:rPr>
      </w:pPr>
      <w:r w:rsidRPr="00543BA3">
        <w:rPr>
          <w:rFonts w:asciiTheme="majorHAnsi" w:hAnsiTheme="majorHAnsi"/>
        </w:rPr>
        <w:t xml:space="preserve">informację </w:t>
      </w:r>
      <w:r w:rsidR="008C094C">
        <w:rPr>
          <w:rFonts w:asciiTheme="majorHAnsi" w:hAnsiTheme="majorHAnsi"/>
        </w:rPr>
        <w:t xml:space="preserve">z banku </w:t>
      </w:r>
      <w:r w:rsidR="008C094C" w:rsidRPr="008C094C">
        <w:rPr>
          <w:rFonts w:asciiTheme="majorHAnsi" w:hAnsiTheme="majorHAnsi"/>
        </w:rPr>
        <w:t>lub spółdzielczej kasy oszczędnościowo- kredytowej potwierdzającej wysokość posiadanych środków finansowych lub zdolność kredytową Wykonawcy, w okresie nie wcześniejszym niż 3 miesiące przed jego złożeniem;</w:t>
      </w:r>
    </w:p>
    <w:p w14:paraId="38996EEC" w14:textId="71F09E6E" w:rsidR="008F5B10" w:rsidRPr="008F5B10" w:rsidRDefault="008C094C" w:rsidP="008F5B10">
      <w:pPr>
        <w:pStyle w:val="Akapitzlist"/>
        <w:numPr>
          <w:ilvl w:val="0"/>
          <w:numId w:val="56"/>
        </w:numPr>
        <w:jc w:val="both"/>
        <w:rPr>
          <w:rFonts w:asciiTheme="majorHAnsi" w:hAnsiTheme="majorHAnsi"/>
        </w:rPr>
      </w:pPr>
      <w:r>
        <w:rPr>
          <w:rFonts w:asciiTheme="majorHAnsi" w:hAnsiTheme="majorHAnsi"/>
        </w:rPr>
        <w:t>wykaz robót budowlanych</w:t>
      </w:r>
      <w:r w:rsidR="008F5B10">
        <w:rPr>
          <w:rFonts w:asciiTheme="majorHAnsi" w:hAnsiTheme="majorHAnsi"/>
        </w:rPr>
        <w:t xml:space="preserve"> </w:t>
      </w:r>
      <w:r w:rsidR="008F5B10" w:rsidRPr="008F5B10">
        <w:rPr>
          <w:rFonts w:asciiTheme="majorHAnsi" w:hAnsiTheme="majorHAnsi"/>
        </w:rPr>
        <w:t xml:space="preserve">wykonanych nie wcześniej niż w okresie ostatnich 5 lat, a jeżeli okres prowadzenia działalności jest krótszy– w tym okresie, wraz z podaniem ich rodzaju, wartości, daty, miejsca wykonania i podmiotów, na rzecz których roboty te zostały wykonane, </w:t>
      </w:r>
      <w:r w:rsidR="008F5B10" w:rsidRPr="008F5B10">
        <w:rPr>
          <w:rFonts w:asciiTheme="majorHAnsi" w:hAnsiTheme="majorHAnsi"/>
          <w:u w:val="single"/>
        </w:rPr>
        <w:t>oraz załączeniem dowodów określających czy te roboty budowlane zostały wykonane należycie</w:t>
      </w:r>
      <w:r w:rsidR="008F5B10" w:rsidRPr="008F5B10">
        <w:rPr>
          <w:rFonts w:asciiTheme="majorHAnsi" w:hAnsiTheme="majorHAnsi"/>
        </w:rPr>
        <w:t xml:space="preserv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 </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2FB99942" w14:textId="47C6527D" w:rsidR="00413CE9" w:rsidRDefault="00413CE9" w:rsidP="00413CE9">
      <w:pPr>
        <w:pStyle w:val="Akapitzlist"/>
        <w:numPr>
          <w:ilvl w:val="0"/>
          <w:numId w:val="57"/>
        </w:numPr>
        <w:jc w:val="both"/>
        <w:rPr>
          <w:rFonts w:ascii="Cambria" w:hAnsi="Cambria"/>
          <w:color w:val="000000" w:themeColor="text1"/>
        </w:rPr>
      </w:pPr>
      <w:r w:rsidRPr="00413CE9">
        <w:rPr>
          <w:rFonts w:ascii="Cambria" w:hAnsi="Cambria"/>
          <w:color w:val="000000" w:themeColor="text1"/>
        </w:rPr>
        <w:t xml:space="preserve">oświadczenie </w:t>
      </w:r>
      <w:r w:rsidRPr="00413CE9">
        <w:rPr>
          <w:rFonts w:ascii="Cambria" w:hAnsi="Cambria"/>
          <w:b/>
          <w:bCs/>
          <w:color w:val="000000" w:themeColor="text1"/>
        </w:rPr>
        <w:t xml:space="preserve">o aktualności informacji zawartych w oświadczeniu, o którym mowa w art. 125 ust. 1 ustawy </w:t>
      </w:r>
      <w:proofErr w:type="spellStart"/>
      <w:r w:rsidRPr="00413CE9">
        <w:rPr>
          <w:rFonts w:ascii="Cambria" w:hAnsi="Cambria"/>
          <w:b/>
          <w:bCs/>
          <w:color w:val="000000" w:themeColor="text1"/>
        </w:rPr>
        <w:t>Pzp</w:t>
      </w:r>
      <w:proofErr w:type="spellEnd"/>
      <w:r w:rsidRPr="00413CE9">
        <w:rPr>
          <w:rFonts w:ascii="Cambria" w:hAnsi="Cambria"/>
          <w:b/>
          <w:bCs/>
          <w:color w:val="000000" w:themeColor="text1"/>
        </w:rPr>
        <w:t xml:space="preserve"> </w:t>
      </w:r>
      <w:r w:rsidRPr="00413CE9">
        <w:rPr>
          <w:rFonts w:ascii="Cambria" w:hAnsi="Cambria"/>
          <w:color w:val="000000" w:themeColor="text1"/>
        </w:rPr>
        <w:t>w zakresie podstaw wykluczenia wskazanych przez Zamawiającego, czyli art. 108 ust. 1</w:t>
      </w:r>
      <w:r w:rsidR="00065D0C">
        <w:rPr>
          <w:rFonts w:ascii="Cambria" w:hAnsi="Cambria"/>
          <w:color w:val="000000" w:themeColor="text1"/>
        </w:rPr>
        <w:t xml:space="preserve"> pkt 3, pkt 4, pkt 5, pkt 6</w:t>
      </w:r>
      <w:r w:rsidR="00DB3811">
        <w:rPr>
          <w:rFonts w:ascii="Cambria" w:hAnsi="Cambria"/>
          <w:color w:val="000000" w:themeColor="text1"/>
        </w:rPr>
        <w:t xml:space="preserve"> oraz art. 109 ust. 1 pkt </w:t>
      </w:r>
      <w:r w:rsidRPr="00413CE9">
        <w:rPr>
          <w:rFonts w:ascii="Cambria" w:hAnsi="Cambria"/>
          <w:color w:val="000000" w:themeColor="text1"/>
        </w:rPr>
        <w:t>5, 7, 8, 10</w:t>
      </w:r>
      <w:r>
        <w:rPr>
          <w:rFonts w:ascii="Cambria" w:hAnsi="Cambria"/>
          <w:color w:val="000000" w:themeColor="text1"/>
        </w:rPr>
        <w:t xml:space="preserve"> </w:t>
      </w:r>
      <w:r w:rsidRPr="00413CE9">
        <w:rPr>
          <w:rFonts w:ascii="Cambria" w:hAnsi="Cambria"/>
          <w:color w:val="000000" w:themeColor="text1"/>
        </w:rPr>
        <w:t xml:space="preserve">ustawy </w:t>
      </w:r>
      <w:proofErr w:type="spellStart"/>
      <w:r w:rsidRPr="00413CE9">
        <w:rPr>
          <w:rFonts w:ascii="Cambria" w:hAnsi="Cambria"/>
          <w:color w:val="000000" w:themeColor="text1"/>
        </w:rPr>
        <w:t>Pzp</w:t>
      </w:r>
      <w:proofErr w:type="spellEnd"/>
      <w:r w:rsidRPr="00413CE9">
        <w:rPr>
          <w:rFonts w:ascii="Cambria" w:hAnsi="Cambria"/>
          <w:color w:val="000000" w:themeColor="text1"/>
        </w:rPr>
        <w:t xml:space="preserve">; (wzór oświadczenia zostanie przesłany wraz z wezwaniem do jego złożenia), </w:t>
      </w:r>
    </w:p>
    <w:p w14:paraId="2D091412" w14:textId="5053BB53" w:rsidR="00413CE9" w:rsidRDefault="00413CE9" w:rsidP="00413CE9">
      <w:pPr>
        <w:pStyle w:val="Akapitzlist"/>
        <w:ind w:left="360"/>
        <w:jc w:val="both"/>
        <w:rPr>
          <w:rFonts w:ascii="Cambria" w:hAnsi="Cambria"/>
          <w:color w:val="000000" w:themeColor="text1"/>
        </w:rPr>
      </w:pPr>
    </w:p>
    <w:p w14:paraId="7B479466" w14:textId="6754CA06" w:rsidR="00413CE9" w:rsidRDefault="00413CE9" w:rsidP="00413CE9">
      <w:pPr>
        <w:pStyle w:val="Akapitzlist"/>
        <w:ind w:left="360"/>
        <w:jc w:val="both"/>
        <w:rPr>
          <w:rFonts w:ascii="Cambria" w:hAnsi="Cambria"/>
          <w:color w:val="000000" w:themeColor="text1"/>
        </w:rPr>
      </w:pPr>
      <w:r w:rsidRPr="00413CE9">
        <w:rPr>
          <w:rFonts w:ascii="Cambria" w:hAnsi="Cambria"/>
          <w:color w:val="000000" w:themeColor="text1"/>
        </w:rPr>
        <w:t>Uwaga: Zamawiający żąda od Wykonawcy, który polega na zdolnościach technicznych</w:t>
      </w:r>
      <w:r>
        <w:rPr>
          <w:rFonts w:ascii="Cambria" w:hAnsi="Cambria"/>
          <w:color w:val="000000" w:themeColor="text1"/>
        </w:rPr>
        <w:t xml:space="preserve"> lub zawodowych</w:t>
      </w:r>
      <w:r w:rsidRPr="00413CE9">
        <w:rPr>
          <w:rFonts w:ascii="Cambria" w:hAnsi="Cambria"/>
          <w:color w:val="000000" w:themeColor="text1"/>
        </w:rPr>
        <w:t xml:space="preserve"> lub sytuacji </w:t>
      </w:r>
      <w:r>
        <w:rPr>
          <w:rFonts w:ascii="Cambria" w:hAnsi="Cambria"/>
          <w:color w:val="000000" w:themeColor="text1"/>
        </w:rPr>
        <w:t>finansowej lub ekonomicznej</w:t>
      </w:r>
      <w:r w:rsidRPr="00413CE9">
        <w:rPr>
          <w:rFonts w:ascii="Cambria" w:hAnsi="Cambria"/>
          <w:color w:val="000000" w:themeColor="text1"/>
        </w:rPr>
        <w:t xml:space="preserve"> podmiotów udostępniających zasoby, na zasadach określonych w art. 118, przedstawienia podmiotowych środków dowodowych, o których mowa </w:t>
      </w:r>
      <w:r>
        <w:rPr>
          <w:rFonts w:ascii="Cambria" w:hAnsi="Cambria"/>
          <w:color w:val="000000" w:themeColor="text1"/>
        </w:rPr>
        <w:t>powyżej</w:t>
      </w:r>
      <w:r w:rsidRPr="00413CE9">
        <w:rPr>
          <w:rFonts w:ascii="Cambria" w:hAnsi="Cambria"/>
          <w:color w:val="000000" w:themeColor="text1"/>
        </w:rPr>
        <w:t>, dotyczących tych podmiotów, potwierdzających, że nie zachodzą wobec tych podmiotów podstawy wykluczenia z postępowania.</w:t>
      </w:r>
    </w:p>
    <w:p w14:paraId="3AD72A69" w14:textId="77777777" w:rsidR="00413CE9" w:rsidRDefault="00413CE9" w:rsidP="00413CE9">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DF572F2"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A51533">
        <w:rPr>
          <w:rFonts w:ascii="Cambria" w:hAnsi="Cambria" w:cs="Arial"/>
          <w:b/>
          <w:bCs/>
        </w:rPr>
        <w:t>kwocie 5</w:t>
      </w:r>
      <w:r w:rsidR="00FB2F6E">
        <w:rPr>
          <w:rFonts w:ascii="Cambria" w:hAnsi="Cambria" w:cs="Arial"/>
          <w:b/>
          <w:bCs/>
        </w:rPr>
        <w:t>0</w:t>
      </w:r>
      <w:r w:rsidR="0083791D">
        <w:rPr>
          <w:rFonts w:ascii="Cambria" w:hAnsi="Cambria" w:cs="Arial"/>
          <w:b/>
          <w:bCs/>
        </w:rPr>
        <w:t>.000,00</w:t>
      </w:r>
      <w:r w:rsidR="00577B99" w:rsidRPr="00577B99">
        <w:rPr>
          <w:rFonts w:ascii="Cambria" w:hAnsi="Cambria" w:cs="Arial"/>
          <w:b/>
          <w:bCs/>
        </w:rPr>
        <w:t xml:space="preserve"> zł.</w:t>
      </w:r>
    </w:p>
    <w:p w14:paraId="00F0CF7A" w14:textId="6EFEA391"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2264B0">
        <w:rPr>
          <w:rFonts w:ascii="Cambria" w:hAnsi="Cambria"/>
        </w:rPr>
        <w:t>13.04</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lastRenderedPageBreak/>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810D70"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lastRenderedPageBreak/>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w:t>
      </w:r>
      <w:r w:rsidR="003247A5" w:rsidRPr="003247A5">
        <w:rPr>
          <w:rFonts w:asciiTheme="majorHAnsi" w:eastAsiaTheme="majorEastAsia" w:hAnsiTheme="majorHAnsi" w:cstheme="majorBidi"/>
          <w:b/>
          <w:lang w:eastAsia="en-US"/>
        </w:rPr>
        <w:lastRenderedPageBreak/>
        <w:t xml:space="preserve">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lastRenderedPageBreak/>
        <w:t>w zakresie dotyczącym przedmiotu zamówienia:</w:t>
      </w:r>
    </w:p>
    <w:p w14:paraId="0159AFAB" w14:textId="57B35D01" w:rsidR="0011460F" w:rsidRPr="00773D17" w:rsidRDefault="0083791D" w:rsidP="003123E6">
      <w:pPr>
        <w:pStyle w:val="Tekstpodstawowy"/>
        <w:tabs>
          <w:tab w:val="left" w:pos="762"/>
        </w:tabs>
        <w:spacing w:before="120" w:after="0" w:line="252" w:lineRule="auto"/>
        <w:ind w:left="786" w:right="20"/>
        <w:jc w:val="both"/>
        <w:rPr>
          <w:rFonts w:ascii="Cambria" w:hAnsi="Cambria"/>
        </w:rPr>
      </w:pPr>
      <w:r>
        <w:rPr>
          <w:rFonts w:ascii="Cambria" w:hAnsi="Cambria"/>
        </w:rPr>
        <w:t>Magdalena Arczyńska</w:t>
      </w:r>
    </w:p>
    <w:p w14:paraId="55BF85D0" w14:textId="0A3BBFAF"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72664A7"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2264B0">
        <w:rPr>
          <w:rFonts w:ascii="Cambria" w:hAnsi="Cambria"/>
        </w:rPr>
        <w:t xml:space="preserve"> postępowania do dnia 15.03</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719ACC58" w:rsidR="00D76005" w:rsidRDefault="002264B0" w:rsidP="0069216D">
      <w:pPr>
        <w:numPr>
          <w:ilvl w:val="1"/>
          <w:numId w:val="37"/>
        </w:numPr>
        <w:ind w:right="-108"/>
        <w:jc w:val="both"/>
        <w:rPr>
          <w:rFonts w:ascii="Cambria" w:hAnsi="Cambria"/>
        </w:rPr>
      </w:pPr>
      <w:r>
        <w:rPr>
          <w:rFonts w:ascii="Cambria" w:hAnsi="Cambria"/>
        </w:rPr>
        <w:t>Otwarcie ofert nastąpi 15.03.2022 r. o godz. 10:05</w:t>
      </w:r>
      <w:r w:rsidR="00D76005">
        <w:rPr>
          <w:rFonts w:ascii="Cambria" w:hAnsi="Cambria"/>
        </w:rPr>
        <w:t>.</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lastRenderedPageBreak/>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155C3A5"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2264B0">
        <w:rPr>
          <w:rFonts w:ascii="Cambria" w:hAnsi="Cambria"/>
          <w:b/>
          <w:bCs/>
        </w:rPr>
        <w:t>13.04</w:t>
      </w:r>
      <w:bookmarkStart w:id="3" w:name="_GoBack"/>
      <w:bookmarkEnd w:id="3"/>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lastRenderedPageBreak/>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Maksymalny okres gwarancji i rękojmi za wady wynosi uwzględniony do oceny ofert wynosi 72 miesiące. Jeżeli Wykonawca zaoferuje okres gwarancji i rękojmi za wady 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lastRenderedPageBreak/>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762606B"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DB3824" w:rsidRPr="00DB3824">
        <w:rPr>
          <w:rFonts w:ascii="Cambria" w:hAnsi="Cambria"/>
          <w:b/>
        </w:rPr>
        <w:t>BUDOWA KOMPLEKSU BASENÓW LETNICH WRAZ Z ZABUDOWĄ I INFRASTRUKTURĄ TOWARZYSZĄCĄ W PARKU WOLNOŚCI NA DZIAŁCE NR 19/3, OBRĘB 0169 W GNIEWKOWIE</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lastRenderedPageBreak/>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4"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4"/>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 xml:space="preserve">98 </w:t>
      </w:r>
      <w:r w:rsidR="006C3F4D" w:rsidRPr="00773D17">
        <w:rPr>
          <w:rFonts w:ascii="Cambria" w:hAnsi="Cambria"/>
        </w:rPr>
        <w:lastRenderedPageBreak/>
        <w:t>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2FF019AD" w14:textId="79532C0B" w:rsidR="001C7F4B"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FF2F24">
        <w:rPr>
          <w:rFonts w:asciiTheme="majorHAnsi" w:hAnsiTheme="majorHAnsi" w:cs="Arial"/>
          <w:szCs w:val="24"/>
        </w:rPr>
        <w:t>Decyzja- pozwolenie na budowę</w:t>
      </w:r>
    </w:p>
    <w:p w14:paraId="5DCE689E" w14:textId="19152D70" w:rsidR="00543BA3" w:rsidRDefault="002D28EF" w:rsidP="00DD7DDA">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11</w:t>
      </w:r>
      <w:r w:rsidR="0054578B" w:rsidRPr="002D28EF">
        <w:rPr>
          <w:rFonts w:asciiTheme="majorHAnsi" w:hAnsiTheme="majorHAnsi" w:cs="Arial"/>
          <w:szCs w:val="24"/>
        </w:rPr>
        <w:t xml:space="preserve">. </w:t>
      </w:r>
      <w:r w:rsidR="003F4CCC">
        <w:rPr>
          <w:rFonts w:asciiTheme="majorHAnsi" w:hAnsiTheme="majorHAnsi" w:cs="Arial"/>
          <w:szCs w:val="24"/>
        </w:rPr>
        <w:t>Promesa wstępna</w:t>
      </w:r>
    </w:p>
    <w:p w14:paraId="67FC1B42" w14:textId="3FDBD1F6" w:rsidR="00DD7DDA" w:rsidRDefault="00DD7DDA"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12. </w:t>
      </w:r>
      <w:r w:rsidR="003F4CCC">
        <w:rPr>
          <w:rFonts w:asciiTheme="majorHAnsi" w:hAnsiTheme="majorHAnsi" w:cs="Arial"/>
          <w:szCs w:val="24"/>
        </w:rPr>
        <w:t>Opinia geotechniczna</w:t>
      </w:r>
    </w:p>
    <w:p w14:paraId="10B0F721" w14:textId="704FA547" w:rsidR="00DD7DDA" w:rsidRDefault="00DD7DDA"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13. Projekt zagospodarowania terenu</w:t>
      </w:r>
    </w:p>
    <w:p w14:paraId="1A8EB8AE" w14:textId="6906269F" w:rsidR="00DD7DDA" w:rsidRDefault="00DD7DDA"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14. Projekt techniczno- wykonawczy- część architektoniczna</w:t>
      </w:r>
    </w:p>
    <w:p w14:paraId="2C0488A4" w14:textId="554043D1" w:rsidR="00DD7DDA" w:rsidRDefault="00DD7DDA"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15. Projekt </w:t>
      </w:r>
      <w:r w:rsidR="00D40235">
        <w:rPr>
          <w:rFonts w:asciiTheme="majorHAnsi" w:hAnsiTheme="majorHAnsi" w:cs="Arial"/>
          <w:szCs w:val="24"/>
        </w:rPr>
        <w:t>techniczno- wykonawczy- konstrukcje</w:t>
      </w:r>
    </w:p>
    <w:p w14:paraId="4A23AA12" w14:textId="2C26BBB3" w:rsidR="00D40235" w:rsidRDefault="00D40235"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16. Projekt techniczno- wykonawczy- branża sanitarna</w:t>
      </w:r>
    </w:p>
    <w:p w14:paraId="6538D9BF" w14:textId="2B9C03E9" w:rsidR="00D40235" w:rsidRDefault="00D40235"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17. Projekt techniczno- wykonawczy- branża elektryczna</w:t>
      </w:r>
    </w:p>
    <w:p w14:paraId="229790D5" w14:textId="3A4A011A" w:rsidR="00D40235" w:rsidRDefault="00D40235"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18. Projekt techniczno- wykonawczy- technologia basenowa</w:t>
      </w:r>
    </w:p>
    <w:p w14:paraId="1B4ED4E4" w14:textId="2C3A5A76" w:rsidR="00D40235" w:rsidRDefault="00D40235"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19. Projekt techniczno- wykonawczy- branża drogowa</w:t>
      </w:r>
    </w:p>
    <w:p w14:paraId="0F28D32F" w14:textId="712529C3" w:rsidR="00D40235" w:rsidRDefault="00D40235"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20. </w:t>
      </w:r>
      <w:proofErr w:type="spellStart"/>
      <w:r>
        <w:rPr>
          <w:rFonts w:asciiTheme="majorHAnsi" w:hAnsiTheme="majorHAnsi" w:cs="Arial"/>
          <w:szCs w:val="24"/>
        </w:rPr>
        <w:t>STWiOR</w:t>
      </w:r>
      <w:proofErr w:type="spellEnd"/>
    </w:p>
    <w:p w14:paraId="1BAA89E9" w14:textId="18D098E2" w:rsidR="00A3775D" w:rsidRDefault="00A3775D"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21.  </w:t>
      </w:r>
      <w:proofErr w:type="spellStart"/>
      <w:r>
        <w:rPr>
          <w:rFonts w:asciiTheme="majorHAnsi" w:hAnsiTheme="majorHAnsi" w:cs="Arial"/>
          <w:szCs w:val="24"/>
        </w:rPr>
        <w:t>STWiOR</w:t>
      </w:r>
      <w:proofErr w:type="spellEnd"/>
      <w:r>
        <w:rPr>
          <w:rFonts w:asciiTheme="majorHAnsi" w:hAnsiTheme="majorHAnsi" w:cs="Arial"/>
          <w:szCs w:val="24"/>
        </w:rPr>
        <w:t xml:space="preserve"> zamienny- niecki panelowe</w:t>
      </w:r>
    </w:p>
    <w:p w14:paraId="7879704E" w14:textId="1B60BE97" w:rsidR="00A3775D" w:rsidRPr="002D28EF" w:rsidRDefault="00A3775D" w:rsidP="00DD7DDA">
      <w:pPr>
        <w:pStyle w:val="pkt"/>
        <w:spacing w:before="0" w:after="0" w:line="240" w:lineRule="auto"/>
        <w:ind w:left="0" w:firstLine="0"/>
        <w:rPr>
          <w:rFonts w:asciiTheme="majorHAnsi" w:hAnsiTheme="majorHAnsi" w:cs="Arial"/>
          <w:szCs w:val="24"/>
        </w:rPr>
      </w:pPr>
      <w:r>
        <w:rPr>
          <w:rFonts w:asciiTheme="majorHAnsi" w:hAnsiTheme="majorHAnsi" w:cs="Arial"/>
          <w:szCs w:val="24"/>
        </w:rPr>
        <w:t>22. Przedmiary</w:t>
      </w: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38DAE9BF"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A3775D">
        <w:rPr>
          <w:rFonts w:asciiTheme="majorHAnsi" w:hAnsiTheme="majorHAnsi" w:cs="Arial"/>
          <w:szCs w:val="24"/>
        </w:rPr>
        <w:t>, dnia 28.02</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22952" w14:textId="77777777" w:rsidR="00810D70" w:rsidRDefault="00810D70" w:rsidP="000F1DCF">
      <w:r>
        <w:separator/>
      </w:r>
    </w:p>
  </w:endnote>
  <w:endnote w:type="continuationSeparator" w:id="0">
    <w:p w14:paraId="1806C893" w14:textId="77777777" w:rsidR="00810D70" w:rsidRDefault="00810D70" w:rsidP="000F1DCF">
      <w:r>
        <w:continuationSeparator/>
      </w:r>
    </w:p>
  </w:endnote>
  <w:endnote w:type="continuationNotice" w:id="1">
    <w:p w14:paraId="37968A10" w14:textId="77777777" w:rsidR="00810D70" w:rsidRDefault="0081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02470" w14:textId="77777777" w:rsidR="00810D70" w:rsidRDefault="00810D70" w:rsidP="000F1DCF">
      <w:r>
        <w:separator/>
      </w:r>
    </w:p>
  </w:footnote>
  <w:footnote w:type="continuationSeparator" w:id="0">
    <w:p w14:paraId="33823A2E" w14:textId="77777777" w:rsidR="00810D70" w:rsidRDefault="00810D70" w:rsidP="000F1DCF">
      <w:r>
        <w:continuationSeparator/>
      </w:r>
    </w:p>
  </w:footnote>
  <w:footnote w:type="continuationNotice" w:id="1">
    <w:p w14:paraId="383249D3" w14:textId="77777777" w:rsidR="00810D70" w:rsidRDefault="00810D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DC561A"/>
    <w:multiLevelType w:val="multilevel"/>
    <w:tmpl w:val="E52690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41F22DE"/>
    <w:multiLevelType w:val="hybridMultilevel"/>
    <w:tmpl w:val="D660D11A"/>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8FC7E93"/>
    <w:multiLevelType w:val="multilevel"/>
    <w:tmpl w:val="505092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1">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8"/>
  </w:num>
  <w:num w:numId="2">
    <w:abstractNumId w:val="38"/>
  </w:num>
  <w:num w:numId="3">
    <w:abstractNumId w:val="59"/>
  </w:num>
  <w:num w:numId="4">
    <w:abstractNumId w:val="61"/>
  </w:num>
  <w:num w:numId="5">
    <w:abstractNumId w:val="27"/>
  </w:num>
  <w:num w:numId="6">
    <w:abstractNumId w:val="60"/>
  </w:num>
  <w:num w:numId="7">
    <w:abstractNumId w:val="19"/>
  </w:num>
  <w:num w:numId="8">
    <w:abstractNumId w:val="36"/>
  </w:num>
  <w:num w:numId="9">
    <w:abstractNumId w:val="16"/>
  </w:num>
  <w:num w:numId="10">
    <w:abstractNumId w:val="0"/>
  </w:num>
  <w:num w:numId="11">
    <w:abstractNumId w:val="30"/>
  </w:num>
  <w:num w:numId="12">
    <w:abstractNumId w:val="23"/>
  </w:num>
  <w:num w:numId="13">
    <w:abstractNumId w:val="56"/>
  </w:num>
  <w:num w:numId="14">
    <w:abstractNumId w:val="45"/>
  </w:num>
  <w:num w:numId="15">
    <w:abstractNumId w:val="49"/>
  </w:num>
  <w:num w:numId="16">
    <w:abstractNumId w:val="21"/>
  </w:num>
  <w:num w:numId="17">
    <w:abstractNumId w:val="35"/>
  </w:num>
  <w:num w:numId="18">
    <w:abstractNumId w:val="37"/>
  </w:num>
  <w:num w:numId="19">
    <w:abstractNumId w:val="13"/>
  </w:num>
  <w:num w:numId="20">
    <w:abstractNumId w:val="53"/>
  </w:num>
  <w:num w:numId="21">
    <w:abstractNumId w:val="20"/>
  </w:num>
  <w:num w:numId="22">
    <w:abstractNumId w:val="10"/>
  </w:num>
  <w:num w:numId="23">
    <w:abstractNumId w:val="11"/>
  </w:num>
  <w:num w:numId="24">
    <w:abstractNumId w:val="26"/>
  </w:num>
  <w:num w:numId="25">
    <w:abstractNumId w:val="52"/>
  </w:num>
  <w:num w:numId="26">
    <w:abstractNumId w:val="15"/>
  </w:num>
  <w:num w:numId="27">
    <w:abstractNumId w:val="25"/>
  </w:num>
  <w:num w:numId="28">
    <w:abstractNumId w:val="5"/>
  </w:num>
  <w:num w:numId="29">
    <w:abstractNumId w:val="24"/>
  </w:num>
  <w:num w:numId="30">
    <w:abstractNumId w:val="7"/>
  </w:num>
  <w:num w:numId="31">
    <w:abstractNumId w:val="47"/>
  </w:num>
  <w:num w:numId="32">
    <w:abstractNumId w:val="43"/>
  </w:num>
  <w:num w:numId="33">
    <w:abstractNumId w:val="4"/>
  </w:num>
  <w:num w:numId="34">
    <w:abstractNumId w:val="54"/>
  </w:num>
  <w:num w:numId="35">
    <w:abstractNumId w:val="31"/>
  </w:num>
  <w:num w:numId="36">
    <w:abstractNumId w:val="29"/>
  </w:num>
  <w:num w:numId="37">
    <w:abstractNumId w:val="40"/>
  </w:num>
  <w:num w:numId="38">
    <w:abstractNumId w:val="57"/>
  </w:num>
  <w:num w:numId="39">
    <w:abstractNumId w:val="28"/>
  </w:num>
  <w:num w:numId="40">
    <w:abstractNumId w:val="1"/>
  </w:num>
  <w:num w:numId="41">
    <w:abstractNumId w:val="50"/>
  </w:num>
  <w:num w:numId="42">
    <w:abstractNumId w:val="51"/>
  </w:num>
  <w:num w:numId="43">
    <w:abstractNumId w:val="41"/>
  </w:num>
  <w:num w:numId="44">
    <w:abstractNumId w:val="55"/>
  </w:num>
  <w:num w:numId="45">
    <w:abstractNumId w:val="2"/>
  </w:num>
  <w:num w:numId="46">
    <w:abstractNumId w:val="39"/>
  </w:num>
  <w:num w:numId="47">
    <w:abstractNumId w:val="32"/>
  </w:num>
  <w:num w:numId="48">
    <w:abstractNumId w:val="14"/>
  </w:num>
  <w:num w:numId="49">
    <w:abstractNumId w:val="9"/>
  </w:num>
  <w:num w:numId="50">
    <w:abstractNumId w:val="8"/>
  </w:num>
  <w:num w:numId="51">
    <w:abstractNumId w:val="48"/>
  </w:num>
  <w:num w:numId="52">
    <w:abstractNumId w:val="22"/>
  </w:num>
  <w:num w:numId="53">
    <w:abstractNumId w:val="17"/>
  </w:num>
  <w:num w:numId="54">
    <w:abstractNumId w:val="3"/>
  </w:num>
  <w:num w:numId="55">
    <w:abstractNumId w:val="42"/>
  </w:num>
  <w:num w:numId="56">
    <w:abstractNumId w:val="6"/>
  </w:num>
  <w:num w:numId="57">
    <w:abstractNumId w:val="34"/>
  </w:num>
  <w:num w:numId="58">
    <w:abstractNumId w:val="44"/>
  </w:num>
  <w:num w:numId="59">
    <w:abstractNumId w:val="58"/>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C10"/>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0C"/>
    <w:rsid w:val="00065D2D"/>
    <w:rsid w:val="0006778A"/>
    <w:rsid w:val="00067B80"/>
    <w:rsid w:val="00070355"/>
    <w:rsid w:val="00070A95"/>
    <w:rsid w:val="0007153D"/>
    <w:rsid w:val="00071677"/>
    <w:rsid w:val="00072F3C"/>
    <w:rsid w:val="000741E0"/>
    <w:rsid w:val="00075654"/>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B7"/>
    <w:rsid w:val="001F0D7F"/>
    <w:rsid w:val="001F48B2"/>
    <w:rsid w:val="001F665A"/>
    <w:rsid w:val="0020063A"/>
    <w:rsid w:val="002016A0"/>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4B0"/>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CCC"/>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CD"/>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2237"/>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56680"/>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0D70"/>
    <w:rsid w:val="008135FB"/>
    <w:rsid w:val="00813913"/>
    <w:rsid w:val="008147AD"/>
    <w:rsid w:val="00814ACA"/>
    <w:rsid w:val="00814EB5"/>
    <w:rsid w:val="0081543D"/>
    <w:rsid w:val="00816456"/>
    <w:rsid w:val="00817FE4"/>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28DB"/>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997"/>
    <w:rsid w:val="008C201C"/>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290"/>
    <w:rsid w:val="008F4580"/>
    <w:rsid w:val="008F4894"/>
    <w:rsid w:val="008F4F4C"/>
    <w:rsid w:val="008F5003"/>
    <w:rsid w:val="008F5882"/>
    <w:rsid w:val="008F5B10"/>
    <w:rsid w:val="008F6463"/>
    <w:rsid w:val="008F6A34"/>
    <w:rsid w:val="008F73F2"/>
    <w:rsid w:val="0090125C"/>
    <w:rsid w:val="009050E2"/>
    <w:rsid w:val="00907000"/>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75D"/>
    <w:rsid w:val="00A3786A"/>
    <w:rsid w:val="00A37A1A"/>
    <w:rsid w:val="00A37AEB"/>
    <w:rsid w:val="00A407FA"/>
    <w:rsid w:val="00A40C22"/>
    <w:rsid w:val="00A41B55"/>
    <w:rsid w:val="00A421C9"/>
    <w:rsid w:val="00A42474"/>
    <w:rsid w:val="00A430F4"/>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5DA"/>
    <w:rsid w:val="00CE662E"/>
    <w:rsid w:val="00CE66F3"/>
    <w:rsid w:val="00CE6F5F"/>
    <w:rsid w:val="00CF07EC"/>
    <w:rsid w:val="00CF0B54"/>
    <w:rsid w:val="00CF11B9"/>
    <w:rsid w:val="00CF28A6"/>
    <w:rsid w:val="00CF2987"/>
    <w:rsid w:val="00CF3FB9"/>
    <w:rsid w:val="00CF47B6"/>
    <w:rsid w:val="00CF55D1"/>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811"/>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7B9"/>
    <w:rsid w:val="00E5559D"/>
    <w:rsid w:val="00E55A9C"/>
    <w:rsid w:val="00E55F1B"/>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419B"/>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540D"/>
    <w:rsid w:val="00EB5770"/>
    <w:rsid w:val="00EB643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2F24"/>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1914-1881-427E-A0D2-E7E35B0D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38</Pages>
  <Words>14222</Words>
  <Characters>85336</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99360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216</cp:revision>
  <cp:lastPrinted>2022-01-17T09:11:00Z</cp:lastPrinted>
  <dcterms:created xsi:type="dcterms:W3CDTF">2021-08-10T09:38:00Z</dcterms:created>
  <dcterms:modified xsi:type="dcterms:W3CDTF">2022-02-28T12:52:00Z</dcterms:modified>
</cp:coreProperties>
</file>