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1416" w14:textId="6D672A78" w:rsidR="00DE05D6" w:rsidRPr="00DE05D6" w:rsidRDefault="00DE05D6" w:rsidP="00DE05D6">
      <w:pPr>
        <w:jc w:val="right"/>
        <w:rPr>
          <w:rFonts w:asciiTheme="majorHAnsi" w:hAnsiTheme="majorHAnsi"/>
        </w:rPr>
      </w:pPr>
      <w:r w:rsidRPr="00DE05D6">
        <w:rPr>
          <w:rFonts w:asciiTheme="majorHAnsi" w:hAnsiTheme="majorHAnsi"/>
          <w:b/>
          <w:bCs/>
        </w:rPr>
        <w:t xml:space="preserve">Załącznik nr </w:t>
      </w:r>
      <w:r w:rsidR="00315757">
        <w:rPr>
          <w:rFonts w:asciiTheme="majorHAnsi" w:hAnsiTheme="majorHAnsi"/>
          <w:b/>
          <w:bCs/>
        </w:rPr>
        <w:t>2</w:t>
      </w:r>
    </w:p>
    <w:p w14:paraId="5DDC47BD" w14:textId="77777777" w:rsidR="00DE05D6" w:rsidRPr="00DE05D6" w:rsidRDefault="00DE05D6" w:rsidP="00DE05D6">
      <w:pPr>
        <w:jc w:val="center"/>
        <w:rPr>
          <w:rFonts w:asciiTheme="majorHAnsi" w:hAnsiTheme="majorHAnsi"/>
        </w:rPr>
      </w:pPr>
      <w:r w:rsidRPr="00DE05D6">
        <w:rPr>
          <w:rFonts w:asciiTheme="majorHAnsi" w:hAnsiTheme="majorHAnsi"/>
          <w:b/>
          <w:bCs/>
        </w:rPr>
        <w:t>OPIS PRZEDMIOTU ZAMÓWIENIA</w:t>
      </w:r>
      <w:r w:rsidRPr="00DE05D6">
        <w:rPr>
          <w:rFonts w:asciiTheme="majorHAnsi" w:hAnsiTheme="majorHAnsi"/>
        </w:rPr>
        <w:t xml:space="preserve">       </w:t>
      </w:r>
    </w:p>
    <w:p w14:paraId="43C56C24" w14:textId="72281349" w:rsidR="00651844" w:rsidRPr="00BF75E6" w:rsidRDefault="00DE05D6" w:rsidP="00651844">
      <w:pPr>
        <w:spacing w:line="276" w:lineRule="auto"/>
        <w:jc w:val="both"/>
        <w:rPr>
          <w:rFonts w:ascii="Calibri Light" w:eastAsia="Calibri" w:hAnsi="Calibri Light" w:cs="Calibri"/>
          <w:b/>
          <w:bCs/>
          <w:i/>
          <w:color w:val="000000"/>
          <w:lang w:eastAsia="ar-SA"/>
        </w:rPr>
      </w:pPr>
      <w:r w:rsidRPr="00DE05D6">
        <w:rPr>
          <w:rStyle w:val="Domylnaczcionkaakapitu1"/>
          <w:rFonts w:asciiTheme="majorHAnsi" w:hAnsiTheme="majorHAnsi" w:cs="Times New Roman"/>
          <w:b/>
        </w:rPr>
        <w:t>I. Przedmiotem zamówienia jest:</w:t>
      </w:r>
      <w:r w:rsidRPr="00DE05D6">
        <w:rPr>
          <w:rStyle w:val="Domylnaczcionkaakapitu1"/>
          <w:rFonts w:asciiTheme="majorHAnsi" w:hAnsiTheme="majorHAnsi" w:cs="Times New Roman"/>
        </w:rPr>
        <w:t xml:space="preserve"> </w:t>
      </w:r>
      <w:bookmarkStart w:id="0" w:name="_Hlk43816656"/>
      <w:r w:rsidR="00651844" w:rsidRPr="00BF75E6">
        <w:rPr>
          <w:rFonts w:ascii="Calibri Light" w:eastAsia="Calibri" w:hAnsi="Calibri Light" w:cs="Calibri"/>
          <w:b/>
          <w:bCs/>
          <w:i/>
          <w:iCs/>
          <w:color w:val="000000"/>
          <w:lang w:eastAsia="ar-SA"/>
        </w:rPr>
        <w:t xml:space="preserve">Pełnienie kompleksowego nadzoru inwestorskiego dla </w:t>
      </w:r>
      <w:r w:rsidR="00651844" w:rsidRPr="00BF75E6">
        <w:rPr>
          <w:rFonts w:ascii="Calibri Light" w:eastAsia="Calibri" w:hAnsi="Calibri Light" w:cs="Calibri"/>
          <w:b/>
          <w:bCs/>
          <w:i/>
          <w:color w:val="000000"/>
          <w:lang w:eastAsia="ar-SA"/>
        </w:rPr>
        <w:t xml:space="preserve"> zada</w:t>
      </w:r>
      <w:r w:rsidR="00EC5624">
        <w:rPr>
          <w:rFonts w:ascii="Calibri Light" w:eastAsia="Calibri" w:hAnsi="Calibri Light" w:cs="Calibri"/>
          <w:b/>
          <w:bCs/>
          <w:i/>
          <w:color w:val="000000"/>
          <w:lang w:eastAsia="ar-SA"/>
        </w:rPr>
        <w:t>nia</w:t>
      </w:r>
      <w:r w:rsidR="00651844" w:rsidRPr="00BF75E6">
        <w:rPr>
          <w:rFonts w:ascii="Calibri Light" w:eastAsia="Calibri" w:hAnsi="Calibri Light" w:cs="Calibri"/>
          <w:b/>
          <w:bCs/>
          <w:i/>
          <w:color w:val="000000"/>
          <w:lang w:eastAsia="ar-SA"/>
        </w:rPr>
        <w:t xml:space="preserve">  budżetow</w:t>
      </w:r>
      <w:r w:rsidR="00EC5624">
        <w:rPr>
          <w:rFonts w:ascii="Calibri Light" w:eastAsia="Calibri" w:hAnsi="Calibri Light" w:cs="Calibri"/>
          <w:b/>
          <w:bCs/>
          <w:i/>
          <w:color w:val="000000"/>
          <w:lang w:eastAsia="ar-SA"/>
        </w:rPr>
        <w:t xml:space="preserve">ego </w:t>
      </w:r>
      <w:r w:rsidR="00651844" w:rsidRPr="00BF75E6">
        <w:rPr>
          <w:rFonts w:ascii="Calibri Light" w:eastAsia="Calibri" w:hAnsi="Calibri Light" w:cs="Calibri"/>
          <w:b/>
          <w:bCs/>
          <w:i/>
          <w:color w:val="000000"/>
          <w:lang w:eastAsia="ar-SA"/>
        </w:rPr>
        <w:t xml:space="preserve">pn.: </w:t>
      </w:r>
    </w:p>
    <w:p w14:paraId="07D28363" w14:textId="31F99AFA" w:rsidR="00651844" w:rsidRDefault="00651844" w:rsidP="00651844">
      <w:pPr>
        <w:jc w:val="both"/>
        <w:rPr>
          <w:rFonts w:ascii="Calibri" w:hAnsi="Calibri" w:cs="Calibri"/>
          <w:b/>
          <w:bCs/>
          <w:u w:val="single"/>
        </w:rPr>
      </w:pPr>
      <w:bookmarkStart w:id="1" w:name="_Hlk515614917"/>
      <w:r w:rsidRPr="00734FCF">
        <w:rPr>
          <w:b/>
          <w:i/>
          <w:iCs/>
        </w:rPr>
        <w:t>„</w:t>
      </w:r>
      <w:r w:rsidR="00E10DA9">
        <w:rPr>
          <w:rFonts w:ascii="Calibri" w:hAnsi="Calibri" w:cs="Calibri"/>
          <w:b/>
          <w:bCs/>
          <w:u w:val="single"/>
        </w:rPr>
        <w:t xml:space="preserve">Rozbudowa Zespołu </w:t>
      </w:r>
      <w:proofErr w:type="spellStart"/>
      <w:r w:rsidR="00E10DA9">
        <w:rPr>
          <w:rFonts w:ascii="Calibri" w:hAnsi="Calibri" w:cs="Calibri"/>
          <w:b/>
          <w:bCs/>
          <w:u w:val="single"/>
        </w:rPr>
        <w:t>Szkolno</w:t>
      </w:r>
      <w:proofErr w:type="spellEnd"/>
      <w:r w:rsidR="00E10DA9">
        <w:rPr>
          <w:rFonts w:ascii="Calibri" w:hAnsi="Calibri" w:cs="Calibri"/>
          <w:b/>
          <w:bCs/>
          <w:u w:val="single"/>
        </w:rPr>
        <w:t xml:space="preserve"> – </w:t>
      </w:r>
      <w:proofErr w:type="spellStart"/>
      <w:r w:rsidR="00E10DA9">
        <w:rPr>
          <w:rFonts w:ascii="Calibri" w:hAnsi="Calibri" w:cs="Calibri"/>
          <w:b/>
          <w:bCs/>
          <w:u w:val="single"/>
        </w:rPr>
        <w:t>Przedszkonego</w:t>
      </w:r>
      <w:proofErr w:type="spellEnd"/>
      <w:r w:rsidR="00E10DA9">
        <w:rPr>
          <w:rFonts w:ascii="Calibri" w:hAnsi="Calibri" w:cs="Calibri"/>
          <w:b/>
          <w:bCs/>
          <w:u w:val="single"/>
        </w:rPr>
        <w:t xml:space="preserve"> w Rudnie</w:t>
      </w:r>
      <w:r>
        <w:rPr>
          <w:rFonts w:ascii="Calibri" w:hAnsi="Calibri" w:cs="Calibri"/>
          <w:b/>
          <w:bCs/>
          <w:u w:val="single"/>
        </w:rPr>
        <w:t>”</w:t>
      </w:r>
    </w:p>
    <w:bookmarkEnd w:id="0"/>
    <w:bookmarkEnd w:id="1"/>
    <w:p w14:paraId="621DE7C4" w14:textId="5E085343" w:rsidR="00DE05D6" w:rsidRPr="00DE05D6" w:rsidRDefault="00DE05D6" w:rsidP="00651844">
      <w:pPr>
        <w:jc w:val="both"/>
        <w:rPr>
          <w:rFonts w:asciiTheme="majorHAnsi" w:eastAsia="Lucida Sans Unicode" w:hAnsiTheme="majorHAnsi" w:cs="Times New Roman"/>
          <w:lang w:eastAsia="ar-SA"/>
        </w:rPr>
      </w:pPr>
      <w:r w:rsidRPr="00DE05D6">
        <w:rPr>
          <w:rFonts w:asciiTheme="majorHAnsi" w:hAnsiTheme="majorHAnsi" w:cs="Times New Roman"/>
          <w:b/>
        </w:rPr>
        <w:t>II. Zakres robót zadania inwestycyjnego nad którym</w:t>
      </w:r>
      <w:r>
        <w:rPr>
          <w:rFonts w:asciiTheme="majorHAnsi" w:hAnsiTheme="majorHAnsi" w:cs="Times New Roman"/>
          <w:b/>
        </w:rPr>
        <w:t>i</w:t>
      </w:r>
      <w:r w:rsidRPr="00DE05D6">
        <w:rPr>
          <w:rFonts w:asciiTheme="majorHAnsi" w:hAnsiTheme="majorHAnsi" w:cs="Times New Roman"/>
          <w:b/>
        </w:rPr>
        <w:t xml:space="preserve"> sprawowany będzie nadzór inwestorski obejmuje:</w:t>
      </w:r>
    </w:p>
    <w:p w14:paraId="35685DD0" w14:textId="77777777"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Rozbiórkę budynków kotłowni i budynku magazynowego.</w:t>
      </w:r>
    </w:p>
    <w:p w14:paraId="7FE3C4BB" w14:textId="584C2730"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 xml:space="preserve"> Rozbudow</w:t>
      </w:r>
      <w:r w:rsidR="00552A16">
        <w:rPr>
          <w:rFonts w:ascii="Calibri" w:eastAsia="Times New Roman" w:hAnsi="Calibri" w:cs="Calibri"/>
          <w:b/>
          <w:bCs/>
          <w:i/>
          <w:iCs/>
          <w:lang w:eastAsia="pl-PL"/>
        </w:rPr>
        <w:t>ę</w:t>
      </w:r>
      <w:r w:rsidRPr="00E10DA9">
        <w:rPr>
          <w:rFonts w:ascii="Calibri" w:eastAsia="Times New Roman" w:hAnsi="Calibri" w:cs="Calibri"/>
          <w:b/>
          <w:bCs/>
          <w:i/>
          <w:iCs/>
          <w:lang w:eastAsia="pl-PL"/>
        </w:rPr>
        <w:t xml:space="preserve"> budynku Zespołu </w:t>
      </w:r>
      <w:proofErr w:type="spellStart"/>
      <w:r w:rsidRPr="00E10DA9">
        <w:rPr>
          <w:rFonts w:ascii="Calibri" w:eastAsia="Times New Roman" w:hAnsi="Calibri" w:cs="Calibri"/>
          <w:b/>
          <w:bCs/>
          <w:i/>
          <w:iCs/>
          <w:lang w:eastAsia="pl-PL"/>
        </w:rPr>
        <w:t>Szkolno</w:t>
      </w:r>
      <w:proofErr w:type="spellEnd"/>
      <w:r w:rsidRPr="00E10DA9">
        <w:rPr>
          <w:rFonts w:ascii="Calibri" w:eastAsia="Times New Roman" w:hAnsi="Calibri" w:cs="Calibri"/>
          <w:b/>
          <w:bCs/>
          <w:i/>
          <w:iCs/>
          <w:lang w:eastAsia="pl-PL"/>
        </w:rPr>
        <w:t xml:space="preserve"> – Przedszkolnego polegającą na budowie budynku dwukondygnacyjnego bez podpiwniczenia połączonego łącznikiem z istniejącym budynkiem szkoły. Funkcja budynku: na parterze pomieszczenia przedszkolne, na piętrze pomieszczenia szkoły podstawowej.</w:t>
      </w:r>
    </w:p>
    <w:p w14:paraId="5FFF47C5" w14:textId="600E5A24"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Budowie przyłączy elektro – energetycznego</w:t>
      </w:r>
      <w:r w:rsidR="00CC0905">
        <w:rPr>
          <w:rFonts w:ascii="Calibri" w:eastAsia="Times New Roman" w:hAnsi="Calibri" w:cs="Calibri"/>
          <w:b/>
          <w:bCs/>
          <w:i/>
          <w:iCs/>
          <w:lang w:eastAsia="pl-PL"/>
        </w:rPr>
        <w:t xml:space="preserve"> oraz</w:t>
      </w:r>
      <w:r w:rsidRPr="00E10DA9">
        <w:rPr>
          <w:rFonts w:ascii="Calibri" w:eastAsia="Times New Roman" w:hAnsi="Calibri" w:cs="Calibri"/>
          <w:b/>
          <w:bCs/>
          <w:i/>
          <w:iCs/>
          <w:lang w:eastAsia="pl-PL"/>
        </w:rPr>
        <w:t xml:space="preserve"> </w:t>
      </w:r>
      <w:proofErr w:type="spellStart"/>
      <w:r w:rsidRPr="00E10DA9">
        <w:rPr>
          <w:rFonts w:ascii="Calibri" w:eastAsia="Times New Roman" w:hAnsi="Calibri" w:cs="Calibri"/>
          <w:b/>
          <w:bCs/>
          <w:i/>
          <w:iCs/>
          <w:lang w:eastAsia="pl-PL"/>
        </w:rPr>
        <w:t>wod</w:t>
      </w:r>
      <w:proofErr w:type="spellEnd"/>
      <w:r w:rsidRPr="00E10DA9">
        <w:rPr>
          <w:rFonts w:ascii="Calibri" w:eastAsia="Times New Roman" w:hAnsi="Calibri" w:cs="Calibri"/>
          <w:b/>
          <w:bCs/>
          <w:i/>
          <w:iCs/>
          <w:lang w:eastAsia="pl-PL"/>
        </w:rPr>
        <w:t>-kan.</w:t>
      </w:r>
    </w:p>
    <w:p w14:paraId="5F714AEC" w14:textId="77777777"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Budowie zbiornika na nieczystości ciekłe.</w:t>
      </w:r>
    </w:p>
    <w:p w14:paraId="18543154" w14:textId="77777777"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Budowie zbiornika retencyjnego na deszczówkę.</w:t>
      </w:r>
    </w:p>
    <w:p w14:paraId="70F52513" w14:textId="77777777"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Budowie drogi wewnętrznej.</w:t>
      </w:r>
    </w:p>
    <w:p w14:paraId="079C47A3" w14:textId="44CE4969" w:rsidR="00E10DA9" w:rsidRPr="00E10DA9" w:rsidRDefault="00E10DA9" w:rsidP="00E10DA9">
      <w:pPr>
        <w:widowControl w:val="0"/>
        <w:numPr>
          <w:ilvl w:val="0"/>
          <w:numId w:val="18"/>
        </w:numPr>
        <w:overflowPunct w:val="0"/>
        <w:autoSpaceDE w:val="0"/>
        <w:autoSpaceDN w:val="0"/>
        <w:adjustRightInd w:val="0"/>
        <w:spacing w:after="0" w:line="276" w:lineRule="auto"/>
        <w:ind w:left="709" w:firstLine="284"/>
        <w:jc w:val="both"/>
        <w:textAlignment w:val="baseline"/>
        <w:rPr>
          <w:rFonts w:ascii="Calibri" w:eastAsia="Times New Roman" w:hAnsi="Calibri" w:cs="Calibri"/>
          <w:b/>
          <w:bCs/>
          <w:i/>
          <w:iCs/>
          <w:lang w:eastAsia="pl-PL"/>
        </w:rPr>
      </w:pPr>
      <w:r w:rsidRPr="00E10DA9">
        <w:rPr>
          <w:rFonts w:ascii="Calibri" w:eastAsia="Times New Roman" w:hAnsi="Calibri" w:cs="Calibri"/>
          <w:b/>
          <w:bCs/>
          <w:i/>
          <w:iCs/>
          <w:lang w:eastAsia="pl-PL"/>
        </w:rPr>
        <w:t>Wykonanie izolacji pionowej ściany fundamentowej i piwnicznej budynku istniejącego( od strony ulicy i wjazdu na działkę</w:t>
      </w:r>
      <w:r>
        <w:rPr>
          <w:rFonts w:ascii="Calibri" w:eastAsia="Times New Roman" w:hAnsi="Calibri" w:cs="Calibri"/>
          <w:b/>
          <w:bCs/>
          <w:i/>
          <w:iCs/>
          <w:lang w:eastAsia="pl-PL"/>
        </w:rPr>
        <w:t>)</w:t>
      </w:r>
      <w:r w:rsidRPr="00E10DA9">
        <w:rPr>
          <w:rFonts w:ascii="Calibri" w:eastAsia="Times New Roman" w:hAnsi="Calibri" w:cs="Calibri"/>
          <w:b/>
          <w:bCs/>
          <w:i/>
          <w:iCs/>
          <w:lang w:eastAsia="pl-PL"/>
        </w:rPr>
        <w:t>.</w:t>
      </w:r>
    </w:p>
    <w:p w14:paraId="084D50D1" w14:textId="77777777" w:rsidR="00DC3032" w:rsidRPr="00DE05D6" w:rsidRDefault="00DC3032" w:rsidP="00090E10">
      <w:pPr>
        <w:pStyle w:val="Normalny1"/>
        <w:ind w:left="57"/>
        <w:textAlignment w:val="auto"/>
        <w:rPr>
          <w:rFonts w:asciiTheme="majorHAnsi" w:eastAsia="Lucida Sans Unicode" w:hAnsiTheme="majorHAnsi" w:cs="Times New Roman"/>
          <w:sz w:val="22"/>
          <w:szCs w:val="22"/>
          <w:lang w:eastAsia="ar-SA" w:bidi="ar-SA"/>
        </w:rPr>
      </w:pPr>
    </w:p>
    <w:p w14:paraId="19220585" w14:textId="77777777" w:rsidR="00090E10" w:rsidRPr="00DE05D6" w:rsidRDefault="00090E10" w:rsidP="00090E10">
      <w:pPr>
        <w:pStyle w:val="Normalny1"/>
        <w:ind w:left="57"/>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b/>
          <w:sz w:val="22"/>
          <w:szCs w:val="22"/>
          <w:lang w:eastAsia="ar-SA" w:bidi="ar-SA"/>
        </w:rPr>
        <w:t>Uwagi:</w:t>
      </w:r>
    </w:p>
    <w:p w14:paraId="493A7D82" w14:textId="3E2F54D8"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Przedstawione w dokumentach wskazania na urządzenia techniczne i materiały z podaniem producenta należy traktować jako przykładowe ze względu na zasady</w:t>
      </w:r>
      <w:r w:rsidR="00C66BB4">
        <w:rPr>
          <w:rFonts w:asciiTheme="majorHAnsi" w:eastAsia="Lucida Sans Unicode" w:hAnsiTheme="majorHAnsi" w:cs="Times New Roman"/>
          <w:sz w:val="22"/>
          <w:szCs w:val="22"/>
          <w:lang w:eastAsia="ar-SA" w:bidi="ar-SA"/>
        </w:rPr>
        <w:t xml:space="preserve"> </w:t>
      </w:r>
      <w:r w:rsidRPr="00DE05D6">
        <w:rPr>
          <w:rFonts w:asciiTheme="majorHAnsi" w:eastAsia="Lucida Sans Unicode" w:hAnsiTheme="majorHAnsi" w:cs="Times New Roman"/>
          <w:sz w:val="22"/>
          <w:szCs w:val="22"/>
          <w:lang w:eastAsia="ar-SA" w:bidi="ar-SA"/>
        </w:rPr>
        <w:t xml:space="preserve"> </w:t>
      </w:r>
      <w:r w:rsidR="00C66BB4" w:rsidRPr="00C66BB4">
        <w:rPr>
          <w:rFonts w:asciiTheme="majorHAnsi" w:hAnsiTheme="majorHAnsi" w:cstheme="majorHAnsi"/>
          <w:sz w:val="22"/>
          <w:szCs w:val="22"/>
        </w:rPr>
        <w:t xml:space="preserve">ustawy z dnia 11 września 2019 r. Prawo zamówień publicznych (Dz. U. z 2021r. poz. 1129 z </w:t>
      </w:r>
      <w:proofErr w:type="spellStart"/>
      <w:r w:rsidR="00C66BB4" w:rsidRPr="00C66BB4">
        <w:rPr>
          <w:rFonts w:asciiTheme="majorHAnsi" w:hAnsiTheme="majorHAnsi" w:cstheme="majorHAnsi"/>
          <w:sz w:val="22"/>
          <w:szCs w:val="22"/>
        </w:rPr>
        <w:t>późn</w:t>
      </w:r>
      <w:proofErr w:type="spellEnd"/>
      <w:r w:rsidR="00C66BB4" w:rsidRPr="00C66BB4">
        <w:rPr>
          <w:rFonts w:asciiTheme="majorHAnsi" w:hAnsiTheme="majorHAnsi" w:cstheme="majorHAnsi"/>
          <w:sz w:val="22"/>
          <w:szCs w:val="22"/>
        </w:rPr>
        <w:t>. zm.)</w:t>
      </w:r>
      <w:r w:rsidRPr="00C66BB4">
        <w:rPr>
          <w:rFonts w:asciiTheme="majorHAnsi" w:eastAsia="Lucida Sans Unicode" w:hAnsiTheme="majorHAnsi" w:cstheme="majorHAnsi"/>
          <w:sz w:val="22"/>
          <w:szCs w:val="22"/>
          <w:lang w:eastAsia="ar-SA" w:bidi="ar-SA"/>
        </w:rPr>
        <w:t>.</w:t>
      </w:r>
    </w:p>
    <w:p w14:paraId="63EDB4EC"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3142B3A0"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a) gabarytów i konstrukcji (wielkość, rodzaj, właściwości fizyczne, liczba elementów składowych),</w:t>
      </w:r>
    </w:p>
    <w:p w14:paraId="66F1DE8F"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b) charakteru użytkowego (tożsamość funkcji),</w:t>
      </w:r>
    </w:p>
    <w:p w14:paraId="67F40131"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c) charakterystyki materiałowej (rodzaj i jakość materiałów),</w:t>
      </w:r>
    </w:p>
    <w:p w14:paraId="16DEAE90" w14:textId="77777777" w:rsidR="00090E10" w:rsidRPr="00DE05D6" w:rsidRDefault="00090E10" w:rsidP="00090E10">
      <w:pPr>
        <w:pStyle w:val="Normalny1"/>
        <w:spacing w:line="276" w:lineRule="auto"/>
        <w:ind w:left="567" w:hanging="212"/>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d) parametrów technicznych (wytrzymałość, trwałość, dane techniczne, dane hydrauliczne, charakterystyki liniowe, konstrukcja),</w:t>
      </w:r>
    </w:p>
    <w:p w14:paraId="77DB8427"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e) parametrów bezpieczeństwa użytkowania,</w:t>
      </w:r>
    </w:p>
    <w:p w14:paraId="3B69D510"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r w:rsidRPr="00DE05D6">
        <w:rPr>
          <w:rFonts w:asciiTheme="majorHAnsi" w:eastAsia="Lucida Sans Unicode" w:hAnsiTheme="majorHAnsi" w:cs="Times New Roman"/>
          <w:sz w:val="22"/>
          <w:szCs w:val="22"/>
          <w:lang w:eastAsia="ar-SA" w:bidi="ar-SA"/>
        </w:rPr>
        <w:t>f) standardów emisyjnych,</w:t>
      </w:r>
    </w:p>
    <w:p w14:paraId="661F9B41" w14:textId="77777777" w:rsidR="00090E10" w:rsidRPr="00DE05D6" w:rsidRDefault="00090E10" w:rsidP="00090E10">
      <w:pPr>
        <w:pStyle w:val="Normalny1"/>
        <w:spacing w:line="276" w:lineRule="auto"/>
        <w:ind w:firstLine="355"/>
        <w:jc w:val="both"/>
        <w:textAlignment w:val="auto"/>
        <w:rPr>
          <w:rFonts w:asciiTheme="majorHAnsi" w:eastAsia="Lucida Sans Unicode" w:hAnsiTheme="majorHAnsi" w:cs="Times New Roman"/>
          <w:sz w:val="22"/>
          <w:szCs w:val="22"/>
          <w:lang w:eastAsia="ar-SA" w:bidi="ar-SA"/>
        </w:rPr>
      </w:pPr>
    </w:p>
    <w:p w14:paraId="659401A6" w14:textId="3DE02096" w:rsidR="00090E10" w:rsidRPr="00DE05D6" w:rsidRDefault="00090E10" w:rsidP="00090E10">
      <w:pPr>
        <w:jc w:val="both"/>
        <w:rPr>
          <w:rFonts w:asciiTheme="majorHAnsi" w:hAnsiTheme="majorHAnsi" w:cs="Times New Roman"/>
        </w:rPr>
      </w:pPr>
      <w:r w:rsidRPr="00DE05D6">
        <w:rPr>
          <w:rFonts w:asciiTheme="majorHAnsi" w:eastAsia="Lucida Sans Unicode" w:hAnsiTheme="majorHAnsi" w:cs="Times New Roman"/>
          <w:lang w:eastAsia="ar-SA"/>
        </w:rPr>
        <w:t xml:space="preserve">Ilekroć w specyfikacji technicznej wykonania i odbioru robót, </w:t>
      </w:r>
      <w:r w:rsidR="00651844">
        <w:rPr>
          <w:rFonts w:asciiTheme="majorHAnsi" w:eastAsia="Lucida Sans Unicode" w:hAnsiTheme="majorHAnsi" w:cs="Times New Roman"/>
          <w:lang w:eastAsia="ar-SA"/>
        </w:rPr>
        <w:t>opisie technicznym</w:t>
      </w:r>
      <w:r w:rsidRPr="00DE05D6">
        <w:rPr>
          <w:rFonts w:asciiTheme="majorHAnsi" w:eastAsia="Lucida Sans Unicode" w:hAnsiTheme="majorHAnsi" w:cs="Times New Roman"/>
          <w:lang w:eastAsia="ar-SA"/>
        </w:rPr>
        <w:t xml:space="preserve"> mowa jest o polskich normach, należy przez to rozumieć polskie normy przenoszące normy europejskie lub normy innych państw członkowskich Europejskiego Obszaru Gospodarczego lub inne normy lub dokumenty, o których mowa w art. 30 ust. 1 pkt 2 ustawy.</w:t>
      </w:r>
    </w:p>
    <w:p w14:paraId="6CED1578" w14:textId="77777777" w:rsidR="007A4BDE" w:rsidRDefault="007A4BDE" w:rsidP="00DE05D6">
      <w:pPr>
        <w:pStyle w:val="Normalny1"/>
        <w:ind w:left="15"/>
        <w:textAlignment w:val="auto"/>
        <w:rPr>
          <w:rFonts w:asciiTheme="majorHAnsi" w:eastAsia="Lucida Sans Unicode" w:hAnsiTheme="majorHAnsi" w:cs="Times New Roman"/>
          <w:sz w:val="22"/>
          <w:szCs w:val="22"/>
          <w:lang w:eastAsia="ar-SA" w:bidi="ar-SA"/>
        </w:rPr>
      </w:pPr>
    </w:p>
    <w:p w14:paraId="5E5D8258" w14:textId="77777777" w:rsidR="00DE05D6" w:rsidRPr="00DE05D6" w:rsidRDefault="00DE05D6" w:rsidP="00DE05D6">
      <w:pPr>
        <w:tabs>
          <w:tab w:val="left" w:pos="540"/>
        </w:tabs>
        <w:jc w:val="both"/>
        <w:rPr>
          <w:rFonts w:asciiTheme="majorHAnsi" w:hAnsiTheme="majorHAnsi" w:cs="Times New Roman"/>
        </w:rPr>
      </w:pPr>
      <w:r w:rsidRPr="00DE05D6">
        <w:rPr>
          <w:rFonts w:asciiTheme="majorHAnsi" w:hAnsiTheme="majorHAnsi" w:cs="Times New Roman"/>
          <w:b/>
          <w:bCs/>
        </w:rPr>
        <w:lastRenderedPageBreak/>
        <w:t>III. Informacje dotyczące rozliczenia zadania:</w:t>
      </w:r>
    </w:p>
    <w:p w14:paraId="5C39DD13" w14:textId="5B03496B" w:rsidR="00651844" w:rsidRDefault="007A4BDE" w:rsidP="00651844">
      <w:pPr>
        <w:jc w:val="both"/>
        <w:rPr>
          <w:rFonts w:ascii="Calibri" w:hAnsi="Calibri" w:cs="Calibri"/>
          <w:b/>
          <w:bCs/>
          <w:u w:val="single"/>
        </w:rPr>
      </w:pPr>
      <w:r w:rsidRPr="00DC3032">
        <w:rPr>
          <w:rFonts w:asciiTheme="majorHAnsi" w:eastAsia="Lucida Sans Unicode" w:hAnsiTheme="majorHAnsi" w:cs="Arial"/>
          <w:bCs/>
        </w:rPr>
        <w:t xml:space="preserve">W zakresie prowadzenia nadzoru inwestorskiego : </w:t>
      </w:r>
      <w:r w:rsidRPr="00DC3032">
        <w:rPr>
          <w:rFonts w:asciiTheme="majorHAnsi" w:eastAsia="Lucida Sans Unicode" w:hAnsiTheme="majorHAnsi" w:cs="Arial"/>
          <w:color w:val="000000"/>
        </w:rPr>
        <w:t>od dnia zawarcia umowy do dnia</w:t>
      </w:r>
      <w:r w:rsidR="00E10DA9">
        <w:rPr>
          <w:rFonts w:asciiTheme="majorHAnsi" w:eastAsia="Lucida Sans Unicode" w:hAnsiTheme="majorHAnsi" w:cs="Arial"/>
          <w:color w:val="000000"/>
        </w:rPr>
        <w:t xml:space="preserve"> odbioru końcowego</w:t>
      </w:r>
      <w:r w:rsidRPr="00DC3032">
        <w:rPr>
          <w:rFonts w:asciiTheme="majorHAnsi" w:eastAsia="Lucida Sans Unicode" w:hAnsiTheme="majorHAnsi" w:cs="Arial"/>
          <w:color w:val="000000"/>
        </w:rPr>
        <w:t xml:space="preserve"> inwestycji pn.: </w:t>
      </w:r>
      <w:r w:rsidR="00651844" w:rsidRPr="00734FCF">
        <w:rPr>
          <w:b/>
          <w:i/>
          <w:iCs/>
        </w:rPr>
        <w:t>„</w:t>
      </w:r>
      <w:r w:rsidR="00E10DA9">
        <w:rPr>
          <w:rFonts w:ascii="Calibri" w:hAnsi="Calibri" w:cs="Calibri"/>
          <w:b/>
          <w:bCs/>
          <w:u w:val="single"/>
        </w:rPr>
        <w:t>Rozbudowa Zespołu Szkolno-Przedszkolnego w Rudnie</w:t>
      </w:r>
      <w:r w:rsidR="00EC5624">
        <w:rPr>
          <w:rFonts w:ascii="Calibri" w:hAnsi="Calibri" w:cs="Calibri"/>
          <w:b/>
          <w:bCs/>
          <w:u w:val="single"/>
        </w:rPr>
        <w:t xml:space="preserve"> </w:t>
      </w:r>
      <w:r w:rsidR="00651844">
        <w:rPr>
          <w:rFonts w:ascii="Calibri" w:hAnsi="Calibri" w:cs="Calibri"/>
          <w:b/>
          <w:bCs/>
          <w:u w:val="single"/>
        </w:rPr>
        <w:t>”</w:t>
      </w:r>
    </w:p>
    <w:p w14:paraId="3FD1F138" w14:textId="6E6E6373" w:rsidR="00DE05D6" w:rsidRDefault="007A4BDE" w:rsidP="00C3500A">
      <w:pPr>
        <w:jc w:val="both"/>
        <w:rPr>
          <w:rFonts w:asciiTheme="majorHAnsi" w:eastAsia="Lucida Sans Unicode" w:hAnsiTheme="majorHAnsi" w:cs="Arial"/>
        </w:rPr>
      </w:pPr>
      <w:r w:rsidRPr="00DC3032">
        <w:rPr>
          <w:rFonts w:asciiTheme="majorHAnsi" w:eastAsia="Lucida Sans Unicode" w:hAnsiTheme="majorHAnsi" w:cs="Arial"/>
          <w:color w:val="000000"/>
        </w:rPr>
        <w:t xml:space="preserve">oraz w okresie obowiązywania rękojmi i gwarancji. Okres obowiązywania rękojmi i gwarancji – </w:t>
      </w:r>
      <w:r w:rsidR="00E10DA9">
        <w:rPr>
          <w:rFonts w:asciiTheme="majorHAnsi" w:eastAsia="Lucida Sans Unicode" w:hAnsiTheme="majorHAnsi" w:cs="Arial"/>
          <w:color w:val="000000"/>
        </w:rPr>
        <w:t xml:space="preserve">do </w:t>
      </w:r>
      <w:r w:rsidR="00E10DA9">
        <w:rPr>
          <w:rFonts w:asciiTheme="majorHAnsi" w:eastAsia="Lucida Sans Unicode" w:hAnsiTheme="majorHAnsi" w:cs="Arial"/>
        </w:rPr>
        <w:t>60 miesięcy</w:t>
      </w:r>
      <w:r w:rsidR="00651844">
        <w:rPr>
          <w:rFonts w:asciiTheme="majorHAnsi" w:eastAsia="Lucida Sans Unicode" w:hAnsiTheme="majorHAnsi" w:cs="Arial"/>
        </w:rPr>
        <w:t xml:space="preserve"> </w:t>
      </w:r>
      <w:r w:rsidRPr="00DC3032">
        <w:rPr>
          <w:rFonts w:asciiTheme="majorHAnsi" w:eastAsia="Lucida Sans Unicode" w:hAnsiTheme="majorHAnsi" w:cs="Arial"/>
        </w:rPr>
        <w:t xml:space="preserve"> od dnia podpisania protokołu odbioru </w:t>
      </w:r>
      <w:r w:rsidR="00C3500A">
        <w:rPr>
          <w:rFonts w:asciiTheme="majorHAnsi" w:eastAsia="Lucida Sans Unicode" w:hAnsiTheme="majorHAnsi" w:cs="Arial"/>
        </w:rPr>
        <w:t xml:space="preserve">końcowego </w:t>
      </w:r>
      <w:r w:rsidRPr="00DC3032">
        <w:rPr>
          <w:rFonts w:asciiTheme="majorHAnsi" w:eastAsia="Lucida Sans Unicode" w:hAnsiTheme="majorHAnsi" w:cs="Arial"/>
        </w:rPr>
        <w:t>robót budowlanych.</w:t>
      </w:r>
    </w:p>
    <w:p w14:paraId="1BEA3501" w14:textId="0DC34CDD" w:rsidR="002A086A" w:rsidRPr="00C3500A" w:rsidRDefault="002A086A" w:rsidP="00C3500A">
      <w:pPr>
        <w:jc w:val="both"/>
        <w:rPr>
          <w:rFonts w:ascii="Calibri Light" w:hAnsi="Calibri Light"/>
          <w:b/>
          <w:bCs/>
          <w:i/>
          <w:color w:val="000000"/>
        </w:rPr>
      </w:pPr>
      <w:r>
        <w:rPr>
          <w:rFonts w:asciiTheme="majorHAnsi" w:eastAsia="Lucida Sans Unicode" w:hAnsiTheme="majorHAnsi" w:cs="Arial"/>
        </w:rPr>
        <w:t xml:space="preserve">Całość </w:t>
      </w:r>
      <w:r w:rsidR="00552A16">
        <w:rPr>
          <w:rFonts w:asciiTheme="majorHAnsi" w:eastAsia="Lucida Sans Unicode" w:hAnsiTheme="majorHAnsi" w:cs="Arial"/>
        </w:rPr>
        <w:t xml:space="preserve">zakresu objętego umową </w:t>
      </w:r>
      <w:r>
        <w:rPr>
          <w:rFonts w:asciiTheme="majorHAnsi" w:eastAsia="Lucida Sans Unicode" w:hAnsiTheme="majorHAnsi" w:cs="Arial"/>
        </w:rPr>
        <w:t xml:space="preserve">płatna </w:t>
      </w:r>
      <w:r w:rsidR="00552A16">
        <w:rPr>
          <w:rFonts w:asciiTheme="majorHAnsi" w:eastAsia="Lucida Sans Unicode" w:hAnsiTheme="majorHAnsi" w:cs="Arial"/>
        </w:rPr>
        <w:t xml:space="preserve">będzie </w:t>
      </w:r>
      <w:r>
        <w:rPr>
          <w:rFonts w:asciiTheme="majorHAnsi" w:eastAsia="Lucida Sans Unicode" w:hAnsiTheme="majorHAnsi" w:cs="Arial"/>
        </w:rPr>
        <w:t>w 2023r.</w:t>
      </w:r>
    </w:p>
    <w:p w14:paraId="02162382" w14:textId="7433DA48" w:rsidR="00DE05D6" w:rsidRPr="00DE05D6" w:rsidRDefault="00DC3032" w:rsidP="00C3500A">
      <w:pPr>
        <w:pStyle w:val="Tekstpodstawowy"/>
        <w:tabs>
          <w:tab w:val="left" w:pos="540"/>
          <w:tab w:val="left" w:pos="1843"/>
        </w:tabs>
        <w:rPr>
          <w:rFonts w:asciiTheme="majorHAnsi" w:hAnsiTheme="majorHAnsi" w:cs="Times New Roman"/>
          <w:b/>
          <w:sz w:val="22"/>
          <w:szCs w:val="22"/>
        </w:rPr>
      </w:pPr>
      <w:r>
        <w:rPr>
          <w:rFonts w:asciiTheme="majorHAnsi" w:hAnsiTheme="majorHAnsi" w:cs="Times New Roman"/>
          <w:b/>
          <w:sz w:val="22"/>
          <w:szCs w:val="22"/>
        </w:rPr>
        <w:t>I</w:t>
      </w:r>
      <w:r w:rsidR="00DE05D6" w:rsidRPr="00DE05D6">
        <w:rPr>
          <w:rFonts w:asciiTheme="majorHAnsi" w:hAnsiTheme="majorHAnsi" w:cs="Times New Roman"/>
          <w:b/>
          <w:sz w:val="22"/>
          <w:szCs w:val="22"/>
        </w:rPr>
        <w:t>V.</w:t>
      </w:r>
      <w:r w:rsidR="00DE05D6" w:rsidRPr="00DE05D6">
        <w:rPr>
          <w:rFonts w:asciiTheme="majorHAnsi" w:hAnsiTheme="majorHAnsi" w:cs="Times New Roman"/>
          <w:b/>
          <w:sz w:val="22"/>
          <w:szCs w:val="22"/>
        </w:rPr>
        <w:tab/>
        <w:t>Informacje dotyczące zakresu obowiązków inspektora nadzoru:</w:t>
      </w:r>
    </w:p>
    <w:p w14:paraId="265CF67D" w14:textId="4CA3FC72" w:rsidR="00DE05D6" w:rsidRPr="000D4011" w:rsidRDefault="00DE05D6" w:rsidP="000D4011">
      <w:pPr>
        <w:widowControl w:val="0"/>
        <w:numPr>
          <w:ilvl w:val="1"/>
          <w:numId w:val="1"/>
        </w:numPr>
        <w:tabs>
          <w:tab w:val="clear" w:pos="0"/>
          <w:tab w:val="left" w:pos="426"/>
          <w:tab w:val="num" w:pos="567"/>
        </w:tabs>
        <w:suppressAutoHyphens/>
        <w:spacing w:after="0" w:line="100" w:lineRule="atLeast"/>
        <w:ind w:left="284" w:hanging="284"/>
        <w:jc w:val="both"/>
        <w:textAlignment w:val="baseline"/>
        <w:rPr>
          <w:rFonts w:asciiTheme="majorHAnsi" w:hAnsiTheme="majorHAnsi" w:cs="Times New Roman"/>
        </w:rPr>
      </w:pPr>
      <w:r w:rsidRPr="00DE05D6">
        <w:rPr>
          <w:rFonts w:asciiTheme="majorHAnsi" w:eastAsia="Arial-BoldMT" w:hAnsiTheme="majorHAnsi" w:cs="Times New Roman"/>
          <w:color w:val="000000"/>
        </w:rPr>
        <w:t>Zakres podstawowych obowiązków i praw Inspektora Nadzoru Inwestorskiego określają art. 25 i 26 ustawy z dnia 7 lipca 1994 r. Prawo budowlane (tekst jednolity Dz. U. z 201</w:t>
      </w:r>
      <w:r w:rsidR="00BE597D">
        <w:rPr>
          <w:rFonts w:asciiTheme="majorHAnsi" w:eastAsia="Arial-BoldMT" w:hAnsiTheme="majorHAnsi" w:cs="Times New Roman"/>
          <w:color w:val="000000"/>
        </w:rPr>
        <w:t>9</w:t>
      </w:r>
      <w:r w:rsidRPr="00DE05D6">
        <w:rPr>
          <w:rFonts w:asciiTheme="majorHAnsi" w:eastAsia="Arial-BoldMT" w:hAnsiTheme="majorHAnsi" w:cs="Times New Roman"/>
          <w:color w:val="000000"/>
        </w:rPr>
        <w:t xml:space="preserve">r.  poz. </w:t>
      </w:r>
      <w:r w:rsidR="00BE597D">
        <w:rPr>
          <w:rFonts w:asciiTheme="majorHAnsi" w:eastAsia="Arial-BoldMT" w:hAnsiTheme="majorHAnsi" w:cs="Times New Roman"/>
          <w:color w:val="000000"/>
        </w:rPr>
        <w:t xml:space="preserve">1186 z </w:t>
      </w:r>
      <w:proofErr w:type="spellStart"/>
      <w:r w:rsidR="00BE597D">
        <w:rPr>
          <w:rFonts w:asciiTheme="majorHAnsi" w:eastAsia="Arial-BoldMT" w:hAnsiTheme="majorHAnsi" w:cs="Times New Roman"/>
          <w:color w:val="000000"/>
        </w:rPr>
        <w:t>późn</w:t>
      </w:r>
      <w:proofErr w:type="spellEnd"/>
      <w:r w:rsidR="00BE597D">
        <w:rPr>
          <w:rFonts w:asciiTheme="majorHAnsi" w:eastAsia="Arial-BoldMT" w:hAnsiTheme="majorHAnsi" w:cs="Times New Roman"/>
          <w:color w:val="000000"/>
        </w:rPr>
        <w:t>. zm.</w:t>
      </w:r>
      <w:r w:rsidRPr="00DE05D6">
        <w:rPr>
          <w:rFonts w:asciiTheme="majorHAnsi" w:eastAsia="Arial-BoldMT" w:hAnsiTheme="majorHAnsi" w:cs="Times New Roman"/>
          <w:color w:val="000000"/>
        </w:rPr>
        <w:t>).</w:t>
      </w:r>
    </w:p>
    <w:p w14:paraId="5768DF18" w14:textId="77777777" w:rsidR="00DE05D6" w:rsidRPr="000D4011" w:rsidRDefault="000D4011" w:rsidP="000D4011">
      <w:pPr>
        <w:widowControl w:val="0"/>
        <w:numPr>
          <w:ilvl w:val="1"/>
          <w:numId w:val="1"/>
        </w:numPr>
        <w:tabs>
          <w:tab w:val="clear" w:pos="0"/>
          <w:tab w:val="left" w:pos="284"/>
          <w:tab w:val="num" w:pos="567"/>
        </w:tabs>
        <w:suppressAutoHyphens/>
        <w:spacing w:after="0" w:line="100" w:lineRule="atLeast"/>
        <w:ind w:hanging="1080"/>
        <w:jc w:val="both"/>
        <w:textAlignment w:val="baseline"/>
        <w:rPr>
          <w:rFonts w:asciiTheme="majorHAnsi" w:hAnsiTheme="majorHAnsi" w:cs="Times New Roman"/>
        </w:rPr>
      </w:pPr>
      <w:r w:rsidRPr="000D4011">
        <w:rPr>
          <w:rFonts w:asciiTheme="majorHAnsi" w:hAnsiTheme="majorHAnsi" w:cs="Times New Roman"/>
        </w:rPr>
        <w:t xml:space="preserve">Kompleksowy </w:t>
      </w:r>
      <w:r>
        <w:rPr>
          <w:rFonts w:asciiTheme="majorHAnsi" w:hAnsiTheme="majorHAnsi" w:cs="Times New Roman"/>
        </w:rPr>
        <w:t>n</w:t>
      </w:r>
      <w:r w:rsidR="00DE05D6" w:rsidRPr="000D4011">
        <w:rPr>
          <w:rFonts w:asciiTheme="majorHAnsi" w:hAnsiTheme="majorHAnsi" w:cs="Times New Roman"/>
        </w:rPr>
        <w:t>adzór inwestorski poza ust. 1, obejmuje także:</w:t>
      </w:r>
    </w:p>
    <w:p w14:paraId="25499ACC" w14:textId="39E62CC6" w:rsidR="002A086A" w:rsidRPr="002A086A" w:rsidRDefault="00DE05D6" w:rsidP="002A086A">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 xml:space="preserve">zapoznanie się z </w:t>
      </w:r>
      <w:r w:rsidR="008205AE">
        <w:rPr>
          <w:rFonts w:asciiTheme="majorHAnsi" w:hAnsiTheme="majorHAnsi" w:cs="Times New Roman"/>
        </w:rPr>
        <w:t>opisem technicznym</w:t>
      </w:r>
      <w:r w:rsidRPr="00DE05D6">
        <w:rPr>
          <w:rFonts w:asciiTheme="majorHAnsi" w:hAnsiTheme="majorHAnsi" w:cs="Times New Roman"/>
        </w:rPr>
        <w:t>,</w:t>
      </w:r>
    </w:p>
    <w:p w14:paraId="7CBED8DC" w14:textId="520ED6C2" w:rsidR="002A086A" w:rsidRDefault="002A086A" w:rsidP="000D4011">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Pr>
          <w:rFonts w:asciiTheme="majorHAnsi" w:hAnsiTheme="majorHAnsi" w:cs="Times New Roman"/>
        </w:rPr>
        <w:t xml:space="preserve">uczestnictwo w planowanym do przeprowadzenia dialogu technicznym, </w:t>
      </w:r>
    </w:p>
    <w:p w14:paraId="073FBF85" w14:textId="171919B3" w:rsidR="00C3500A" w:rsidRPr="00DE05D6" w:rsidRDefault="00C3500A" w:rsidP="000D4011">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Pr>
          <w:rFonts w:asciiTheme="majorHAnsi" w:hAnsiTheme="majorHAnsi" w:cs="Times New Roman"/>
        </w:rPr>
        <w:t>uczestnictwo w przygotowaniu post</w:t>
      </w:r>
      <w:r w:rsidR="00BE5CEC">
        <w:rPr>
          <w:rFonts w:asciiTheme="majorHAnsi" w:hAnsiTheme="majorHAnsi" w:cs="Times New Roman"/>
        </w:rPr>
        <w:t>ępowania przetargowego</w:t>
      </w:r>
      <w:r w:rsidR="002A086A">
        <w:rPr>
          <w:rFonts w:asciiTheme="majorHAnsi" w:hAnsiTheme="majorHAnsi" w:cs="Times New Roman"/>
        </w:rPr>
        <w:t xml:space="preserve"> na wybór Wykonawcy</w:t>
      </w:r>
      <w:r w:rsidR="00BE5CEC">
        <w:rPr>
          <w:rFonts w:asciiTheme="majorHAnsi" w:hAnsiTheme="majorHAnsi" w:cs="Times New Roman"/>
        </w:rPr>
        <w:t>,</w:t>
      </w:r>
    </w:p>
    <w:p w14:paraId="5306FDD5" w14:textId="6785B322" w:rsidR="00DE05D6" w:rsidRPr="00DE05D6" w:rsidRDefault="00DE05D6" w:rsidP="000D4011">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 xml:space="preserve">uczestnictwo w rozpoczęciu </w:t>
      </w:r>
      <w:r w:rsidR="008205AE">
        <w:rPr>
          <w:rFonts w:asciiTheme="majorHAnsi" w:hAnsiTheme="majorHAnsi" w:cs="Times New Roman"/>
        </w:rPr>
        <w:t>robót budowlanych,</w:t>
      </w:r>
    </w:p>
    <w:p w14:paraId="4E44B1D0" w14:textId="77777777" w:rsidR="00DE05D6" w:rsidRPr="00DE05D6" w:rsidRDefault="00DE05D6" w:rsidP="00DB283F">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nadzór nad realizacją inwestycji, w zakresie niezbędnym do zabezpieczenia interesów Zamawiającego i przyszłych użytkowników,</w:t>
      </w:r>
    </w:p>
    <w:p w14:paraId="3C6665CF" w14:textId="2BEC066E" w:rsidR="00DE05D6" w:rsidRPr="00DE05D6" w:rsidRDefault="00DE05D6" w:rsidP="00DB283F">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 xml:space="preserve">w porozumieniu z kierownikiem </w:t>
      </w:r>
      <w:r w:rsidR="008205AE">
        <w:rPr>
          <w:rFonts w:asciiTheme="majorHAnsi" w:hAnsiTheme="majorHAnsi" w:cs="Times New Roman"/>
        </w:rPr>
        <w:t xml:space="preserve">robót </w:t>
      </w:r>
      <w:r w:rsidRPr="00DE05D6">
        <w:rPr>
          <w:rFonts w:asciiTheme="majorHAnsi" w:hAnsiTheme="majorHAnsi" w:cs="Times New Roman"/>
        </w:rPr>
        <w:t xml:space="preserve">rozstrzyganie wątpliwości natury technicznej powstałe w toku wykonywania robót, </w:t>
      </w:r>
    </w:p>
    <w:p w14:paraId="3F5C8998" w14:textId="002F107A" w:rsidR="00DE05D6" w:rsidRPr="00DE05D6" w:rsidRDefault="00DE05D6" w:rsidP="00DB283F">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sprawdzenie i odebranie  robót ulegających zakryciu lub zanikowych, w terminach określonych w umowie z wykonawcą robót budowlanych,</w:t>
      </w:r>
    </w:p>
    <w:p w14:paraId="5C176C6D" w14:textId="39AC24F4"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 xml:space="preserve">wykonanie na bieżąco dokumentacji fotograficznej </w:t>
      </w:r>
      <w:r w:rsidR="00C3500A">
        <w:rPr>
          <w:rFonts w:asciiTheme="majorHAnsi" w:hAnsiTheme="majorHAnsi" w:cs="Times New Roman"/>
        </w:rPr>
        <w:t xml:space="preserve">poszczególnych </w:t>
      </w:r>
      <w:r w:rsidRPr="00DE05D6">
        <w:rPr>
          <w:rFonts w:asciiTheme="majorHAnsi" w:hAnsiTheme="majorHAnsi" w:cs="Times New Roman"/>
        </w:rPr>
        <w:t>etapów</w:t>
      </w:r>
      <w:r w:rsidR="00C3500A">
        <w:rPr>
          <w:rFonts w:asciiTheme="majorHAnsi" w:hAnsiTheme="majorHAnsi" w:cs="Times New Roman"/>
        </w:rPr>
        <w:t xml:space="preserve"> budowy szczególnie robót zanikowych,</w:t>
      </w:r>
      <w:r w:rsidRPr="00DE05D6">
        <w:rPr>
          <w:rFonts w:asciiTheme="majorHAnsi" w:hAnsiTheme="majorHAnsi" w:cs="Times New Roman"/>
        </w:rPr>
        <w:t xml:space="preserve"> </w:t>
      </w:r>
    </w:p>
    <w:p w14:paraId="09A77422"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żądanie dokonania przez wykonawcę robót, na jego koszt odkrywek elementów robót budzących wątpliwości w celu sprawdzenia jakości ich wykonania, jeżeli wykonanie tych robót nie zostało zgłoszone do sprawdzenia przed ich zakryciem,</w:t>
      </w:r>
    </w:p>
    <w:p w14:paraId="781EEA5B"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uczestniczenia w przeprowadzanych przez wykonawcę próbach i odbiorach,</w:t>
      </w:r>
    </w:p>
    <w:p w14:paraId="55119321"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stwierdzenia aktualnego stanu robót w razie przerwy w robotach oraz innych wypadkach, gdy zachodzi potrzeba ustalenia ilości, jakości i wartości robót w zakresie niezbędnym do rozliczeń z Zamawiającym,</w:t>
      </w:r>
    </w:p>
    <w:p w14:paraId="1E462C63" w14:textId="20C4E62C"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bieżącej kontroli zgodności wykonywanych robót budowlanych,</w:t>
      </w:r>
    </w:p>
    <w:p w14:paraId="05218BD0"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zatwierdzania wszelkich materiałów i urządzeń przewidzianych do zastosowania przez wykonawcę robót budowlanych, w tym  materiałów   i urządzeń równoważnych,</w:t>
      </w:r>
    </w:p>
    <w:p w14:paraId="72FD66BA" w14:textId="6839B480"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eastAsia="Times New Roman" w:hAnsiTheme="majorHAnsi" w:cs="Times New Roman"/>
          <w:lang w:eastAsia="ar-SA"/>
        </w:rPr>
      </w:pPr>
      <w:r w:rsidRPr="00DE05D6">
        <w:rPr>
          <w:rFonts w:asciiTheme="majorHAnsi" w:hAnsiTheme="majorHAnsi" w:cs="Times New Roman"/>
        </w:rPr>
        <w:t>organizowania i przewodniczenia naradom dotyczącym postępu robót z udziałem wszystkich stron zaangażowanych w realizację zadania inwestycyjnego,</w:t>
      </w:r>
    </w:p>
    <w:p w14:paraId="7E5AE84D" w14:textId="602AB016"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eastAsia="Times New Roman" w:hAnsiTheme="majorHAnsi" w:cs="Times New Roman"/>
          <w:lang w:eastAsia="ar-SA"/>
        </w:rPr>
      </w:pPr>
      <w:r w:rsidRPr="00DE05D6">
        <w:rPr>
          <w:rFonts w:asciiTheme="majorHAnsi" w:eastAsia="Times New Roman" w:hAnsiTheme="majorHAnsi" w:cs="Times New Roman"/>
          <w:lang w:eastAsia="ar-SA"/>
        </w:rPr>
        <w:t>na żądanie Rady Gminy Rudziniec bądź Wójta Gminy zaprezentowanie postępu robót wraz</w:t>
      </w:r>
      <w:r w:rsidR="008205AE">
        <w:rPr>
          <w:rFonts w:asciiTheme="majorHAnsi" w:eastAsia="Times New Roman" w:hAnsiTheme="majorHAnsi" w:cs="Times New Roman"/>
          <w:lang w:eastAsia="ar-SA"/>
        </w:rPr>
        <w:t xml:space="preserve">                            </w:t>
      </w:r>
      <w:r w:rsidRPr="00DE05D6">
        <w:rPr>
          <w:rFonts w:asciiTheme="majorHAnsi" w:eastAsia="Times New Roman" w:hAnsiTheme="majorHAnsi" w:cs="Times New Roman"/>
          <w:lang w:eastAsia="ar-SA"/>
        </w:rPr>
        <w:t xml:space="preserve"> z odpowiedziami na pytania na komisjach bądź sesjach Rady Gminy Rudziniec,</w:t>
      </w:r>
    </w:p>
    <w:p w14:paraId="008EC032"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eastAsia="Times New Roman" w:hAnsiTheme="majorHAnsi" w:cs="Times New Roman"/>
          <w:lang w:eastAsia="ar-SA"/>
        </w:rPr>
      </w:pPr>
      <w:r w:rsidRPr="00DE05D6">
        <w:rPr>
          <w:rFonts w:asciiTheme="majorHAnsi" w:eastAsia="Times New Roman" w:hAnsiTheme="majorHAnsi" w:cs="Times New Roman"/>
          <w:lang w:eastAsia="ar-SA"/>
        </w:rPr>
        <w:t>weryfikacja kosztorysów inwestorskich, ofertowych i powykonawczych, w tym także dla robót dodatkowych wynikłych podczas realizacji zadań,</w:t>
      </w:r>
    </w:p>
    <w:p w14:paraId="7F6FF921"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eastAsia="Times New Roman" w:hAnsiTheme="majorHAnsi" w:cs="Times New Roman"/>
          <w:lang w:eastAsia="ar-SA"/>
        </w:rPr>
        <w:t>kontrolowanie rozliczeń budowy,</w:t>
      </w:r>
    </w:p>
    <w:p w14:paraId="05B56553"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uczestnictwo w zakończeniu inwestycji - odbiorze robót,</w:t>
      </w:r>
    </w:p>
    <w:p w14:paraId="1AFCC33F"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t>sprawdzenie i zatwierdzenie dokumentacji powykonawczej przed przekazaniem jej do Zamawiającego,</w:t>
      </w:r>
    </w:p>
    <w:p w14:paraId="6DDB1429"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hAnsiTheme="majorHAnsi" w:cs="Times New Roman"/>
        </w:rPr>
        <w:lastRenderedPageBreak/>
        <w:t>udział w rozpatrywaniu wszelkiego rodzaju skarg i roszczeń osób trzecich wywołanych realizacją zadania inwestycyjnego</w:t>
      </w:r>
    </w:p>
    <w:p w14:paraId="08A165A7"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eastAsia="Times New Roman" w:hAnsiTheme="majorHAnsi" w:cs="Times New Roman"/>
          <w:lang w:eastAsia="ar-SA"/>
        </w:rPr>
      </w:pPr>
      <w:r w:rsidRPr="00DE05D6">
        <w:rPr>
          <w:rFonts w:asciiTheme="majorHAnsi" w:hAnsiTheme="majorHAnsi" w:cs="Times New Roman"/>
        </w:rPr>
        <w:t xml:space="preserve">składanie wyjaśnień i udzielanie odpowiedzi przy składaniu przez Zamawiającego wniosków </w:t>
      </w:r>
      <w:r w:rsidR="00DB283F">
        <w:rPr>
          <w:rFonts w:asciiTheme="majorHAnsi" w:hAnsiTheme="majorHAnsi" w:cs="Times New Roman"/>
        </w:rPr>
        <w:t xml:space="preserve">                     </w:t>
      </w:r>
      <w:r w:rsidRPr="00DE05D6">
        <w:rPr>
          <w:rFonts w:asciiTheme="majorHAnsi" w:hAnsiTheme="majorHAnsi" w:cs="Times New Roman"/>
        </w:rPr>
        <w:t>o płatność oraz kontroli projektu</w:t>
      </w:r>
      <w:r w:rsidR="00DB283F">
        <w:rPr>
          <w:rFonts w:asciiTheme="majorHAnsi" w:hAnsiTheme="majorHAnsi" w:cs="Times New Roman"/>
        </w:rPr>
        <w:t>,</w:t>
      </w:r>
    </w:p>
    <w:p w14:paraId="32C57BC7" w14:textId="77777777" w:rsidR="00DE05D6" w:rsidRPr="00DE05D6" w:rsidRDefault="00DE05D6" w:rsidP="008205AE">
      <w:pPr>
        <w:widowControl w:val="0"/>
        <w:numPr>
          <w:ilvl w:val="0"/>
          <w:numId w:val="2"/>
        </w:numPr>
        <w:tabs>
          <w:tab w:val="left" w:pos="2880"/>
        </w:tabs>
        <w:suppressAutoHyphens/>
        <w:spacing w:after="0" w:line="100" w:lineRule="atLeast"/>
        <w:ind w:left="567" w:hanging="283"/>
        <w:jc w:val="both"/>
        <w:textAlignment w:val="baseline"/>
        <w:rPr>
          <w:rFonts w:asciiTheme="majorHAnsi" w:eastAsia="Times New Roman" w:hAnsiTheme="majorHAnsi" w:cs="Times New Roman"/>
          <w:lang w:eastAsia="ar-SA"/>
        </w:rPr>
      </w:pPr>
      <w:r w:rsidRPr="00DE05D6">
        <w:rPr>
          <w:rFonts w:asciiTheme="majorHAnsi" w:eastAsia="Times New Roman" w:hAnsiTheme="majorHAnsi" w:cs="Times New Roman"/>
          <w:lang w:eastAsia="ar-SA"/>
        </w:rPr>
        <w:t>uczestnictwo w komisjach w okresie obowiązywania gwarancji i rękojmi, w tym w komisjach powoływanych do stwierdzenia ujawnionych wad, ustalania w porozumieniu z Wykonawcą robót budowlanych i użytkownikiem kanalizacji sanitarnej technologii i terminu ich usunięcia  oraz nadzór realizacji robót związanych z usuwaniem wad,</w:t>
      </w:r>
    </w:p>
    <w:p w14:paraId="30376ED3" w14:textId="343B92F5" w:rsidR="00DE05D6" w:rsidRPr="00DE05D6" w:rsidRDefault="00DE05D6" w:rsidP="00C3500A">
      <w:pPr>
        <w:widowControl w:val="0"/>
        <w:numPr>
          <w:ilvl w:val="0"/>
          <w:numId w:val="2"/>
        </w:numPr>
        <w:tabs>
          <w:tab w:val="left" w:pos="2880"/>
        </w:tabs>
        <w:suppressAutoHyphens/>
        <w:spacing w:after="0" w:line="100" w:lineRule="atLeast"/>
        <w:ind w:left="567" w:hanging="283"/>
        <w:jc w:val="both"/>
        <w:textAlignment w:val="baseline"/>
        <w:rPr>
          <w:rFonts w:asciiTheme="majorHAnsi" w:hAnsiTheme="majorHAnsi" w:cs="Times New Roman"/>
        </w:rPr>
      </w:pPr>
      <w:r w:rsidRPr="00DE05D6">
        <w:rPr>
          <w:rFonts w:asciiTheme="majorHAnsi" w:eastAsia="Times New Roman" w:hAnsiTheme="majorHAnsi" w:cs="Times New Roman"/>
          <w:lang w:eastAsia="ar-SA"/>
        </w:rPr>
        <w:t>wykonanie innych obowiązków spoczywających na inspektorze nadzoru inwestorskiego określonych w umowie z wykonawcą robót budowlanych.</w:t>
      </w:r>
    </w:p>
    <w:sectPr w:rsidR="00DE05D6" w:rsidRPr="00DE05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0E20" w14:textId="77777777" w:rsidR="007A3DD0" w:rsidRDefault="007A3DD0">
      <w:pPr>
        <w:spacing w:after="0" w:line="240" w:lineRule="auto"/>
      </w:pPr>
      <w:r>
        <w:separator/>
      </w:r>
    </w:p>
  </w:endnote>
  <w:endnote w:type="continuationSeparator" w:id="0">
    <w:p w14:paraId="44B42C25" w14:textId="77777777" w:rsidR="007A3DD0" w:rsidRDefault="007A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Klee One"/>
    <w:charset w:val="8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MT">
    <w:charset w:val="EE"/>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B66D" w14:textId="77777777" w:rsidR="007A3DD0" w:rsidRDefault="007A3DD0">
      <w:pPr>
        <w:spacing w:after="0" w:line="240" w:lineRule="auto"/>
      </w:pPr>
      <w:r>
        <w:separator/>
      </w:r>
    </w:p>
  </w:footnote>
  <w:footnote w:type="continuationSeparator" w:id="0">
    <w:p w14:paraId="1E16B266" w14:textId="77777777" w:rsidR="007A3DD0" w:rsidRDefault="007A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00" w:hanging="360"/>
      </w:pPr>
      <w:rPr>
        <w:rFonts w:ascii="StarSymbol" w:hAnsi="StarSymbol" w:cs="StarSymbol"/>
        <w:b/>
        <w:lang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color w:val="000000"/>
      </w:rPr>
    </w:lvl>
    <w:lvl w:ilvl="1">
      <w:start w:val="1"/>
      <w:numFmt w:val="bullet"/>
      <w:lvlText w:val=""/>
      <w:lvlJc w:val="left"/>
      <w:pPr>
        <w:tabs>
          <w:tab w:val="num" w:pos="0"/>
        </w:tabs>
        <w:ind w:left="1080" w:hanging="360"/>
      </w:pPr>
      <w:rPr>
        <w:rFonts w:ascii="Symbol" w:hAnsi="Symbol" w:cs="OpenSymbol"/>
        <w:color w:val="000000"/>
      </w:rPr>
    </w:lvl>
    <w:lvl w:ilvl="2">
      <w:start w:val="1"/>
      <w:numFmt w:val="bullet"/>
      <w:lvlText w:val=""/>
      <w:lvlJc w:val="left"/>
      <w:pPr>
        <w:tabs>
          <w:tab w:val="num" w:pos="0"/>
        </w:tabs>
        <w:ind w:left="1440" w:hanging="360"/>
      </w:pPr>
      <w:rPr>
        <w:rFonts w:ascii="Symbol" w:hAnsi="Symbol" w:cs="OpenSymbol"/>
        <w:color w:val="000000"/>
      </w:rPr>
    </w:lvl>
    <w:lvl w:ilvl="3">
      <w:start w:val="1"/>
      <w:numFmt w:val="bullet"/>
      <w:lvlText w:val=""/>
      <w:lvlJc w:val="left"/>
      <w:pPr>
        <w:tabs>
          <w:tab w:val="num" w:pos="0"/>
        </w:tabs>
        <w:ind w:left="1800" w:hanging="360"/>
      </w:pPr>
      <w:rPr>
        <w:rFonts w:ascii="Symbol" w:hAnsi="Symbol" w:cs="OpenSymbol"/>
        <w:color w:val="000000"/>
      </w:rPr>
    </w:lvl>
    <w:lvl w:ilvl="4">
      <w:start w:val="1"/>
      <w:numFmt w:val="bullet"/>
      <w:lvlText w:val=""/>
      <w:lvlJc w:val="left"/>
      <w:pPr>
        <w:tabs>
          <w:tab w:val="num" w:pos="0"/>
        </w:tabs>
        <w:ind w:left="2160" w:hanging="360"/>
      </w:pPr>
      <w:rPr>
        <w:rFonts w:ascii="Symbol" w:hAnsi="Symbol" w:cs="OpenSymbol"/>
        <w:color w:val="000000"/>
      </w:rPr>
    </w:lvl>
    <w:lvl w:ilvl="5">
      <w:start w:val="1"/>
      <w:numFmt w:val="bullet"/>
      <w:lvlText w:val=""/>
      <w:lvlJc w:val="left"/>
      <w:pPr>
        <w:tabs>
          <w:tab w:val="num" w:pos="0"/>
        </w:tabs>
        <w:ind w:left="2520" w:hanging="360"/>
      </w:pPr>
      <w:rPr>
        <w:rFonts w:ascii="Symbol" w:hAnsi="Symbol" w:cs="OpenSymbol"/>
        <w:color w:val="000000"/>
      </w:rPr>
    </w:lvl>
    <w:lvl w:ilvl="6">
      <w:start w:val="1"/>
      <w:numFmt w:val="bullet"/>
      <w:lvlText w:val=""/>
      <w:lvlJc w:val="left"/>
      <w:pPr>
        <w:tabs>
          <w:tab w:val="num" w:pos="0"/>
        </w:tabs>
        <w:ind w:left="2880" w:hanging="360"/>
      </w:pPr>
      <w:rPr>
        <w:rFonts w:ascii="Symbol" w:hAnsi="Symbol" w:cs="OpenSymbol"/>
        <w:color w:val="000000"/>
      </w:rPr>
    </w:lvl>
    <w:lvl w:ilvl="7">
      <w:start w:val="1"/>
      <w:numFmt w:val="bullet"/>
      <w:lvlText w:val=""/>
      <w:lvlJc w:val="left"/>
      <w:pPr>
        <w:tabs>
          <w:tab w:val="num" w:pos="0"/>
        </w:tabs>
        <w:ind w:left="3240" w:hanging="360"/>
      </w:pPr>
      <w:rPr>
        <w:rFonts w:ascii="Symbol" w:hAnsi="Symbol" w:cs="OpenSymbol"/>
        <w:color w:val="000000"/>
      </w:rPr>
    </w:lvl>
    <w:lvl w:ilvl="8">
      <w:start w:val="1"/>
      <w:numFmt w:val="bullet"/>
      <w:lvlText w:val=""/>
      <w:lvlJc w:val="left"/>
      <w:pPr>
        <w:tabs>
          <w:tab w:val="num" w:pos="0"/>
        </w:tabs>
        <w:ind w:left="3600" w:hanging="360"/>
      </w:pPr>
      <w:rPr>
        <w:rFonts w:ascii="Symbol" w:hAnsi="Symbol" w:cs="OpenSymbol"/>
        <w:color w:val="000000"/>
      </w:rPr>
    </w:lvl>
  </w:abstractNum>
  <w:abstractNum w:abstractNumId="4" w15:restartNumberingAfterBreak="0">
    <w:nsid w:val="0000000C"/>
    <w:multiLevelType w:val="singleLevel"/>
    <w:tmpl w:val="BF36FA84"/>
    <w:name w:val="WW8Num12"/>
    <w:lvl w:ilvl="0">
      <w:start w:val="1"/>
      <w:numFmt w:val="decimal"/>
      <w:suff w:val="nothing"/>
      <w:lvlText w:val="%1."/>
      <w:lvlJc w:val="left"/>
      <w:pPr>
        <w:ind w:left="0" w:firstLine="0"/>
      </w:pPr>
      <w:rPr>
        <w:rFonts w:ascii="Arial" w:hAnsi="Arial" w:cs="Arial" w:hint="default"/>
        <w:b w:val="0"/>
        <w:i w:val="0"/>
        <w:strike w:val="0"/>
        <w:dstrike w:val="0"/>
        <w:color w:val="auto"/>
        <w:sz w:val="20"/>
        <w:szCs w:val="20"/>
      </w:rPr>
    </w:lvl>
  </w:abstractNum>
  <w:abstractNum w:abstractNumId="5" w15:restartNumberingAfterBreak="0">
    <w:nsid w:val="07305C7A"/>
    <w:multiLevelType w:val="hybridMultilevel"/>
    <w:tmpl w:val="F1BAEE78"/>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AA63FA8"/>
    <w:multiLevelType w:val="multilevel"/>
    <w:tmpl w:val="A5400A98"/>
    <w:styleLink w:val="WW8Num2"/>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024946"/>
    <w:multiLevelType w:val="hybridMultilevel"/>
    <w:tmpl w:val="57642E5A"/>
    <w:lvl w:ilvl="0" w:tplc="FFFFFFFF">
      <w:start w:val="1"/>
      <w:numFmt w:val="decimal"/>
      <w:lvlText w:val="%1."/>
      <w:lvlJc w:val="left"/>
      <w:pPr>
        <w:ind w:left="1854" w:hanging="360"/>
      </w:pPr>
      <w:rPr>
        <w:rFonts w:ascii="Calibri" w:hAnsi="Calibri" w:cs="Calibri" w:hint="default"/>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8" w15:restartNumberingAfterBreak="0">
    <w:nsid w:val="36092C03"/>
    <w:multiLevelType w:val="hybridMultilevel"/>
    <w:tmpl w:val="57642E5A"/>
    <w:lvl w:ilvl="0" w:tplc="501A7E6C">
      <w:start w:val="1"/>
      <w:numFmt w:val="decimal"/>
      <w:lvlText w:val="%1."/>
      <w:lvlJc w:val="left"/>
      <w:pPr>
        <w:ind w:left="1854" w:hanging="360"/>
      </w:pPr>
      <w:rPr>
        <w:rFonts w:ascii="Calibri" w:hAnsi="Calibri" w:cs="Calibri" w:hint="default"/>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9" w15:restartNumberingAfterBreak="0">
    <w:nsid w:val="3CBB0624"/>
    <w:multiLevelType w:val="hybridMultilevel"/>
    <w:tmpl w:val="604243F0"/>
    <w:lvl w:ilvl="0" w:tplc="83A01F12">
      <w:start w:val="1"/>
      <w:numFmt w:val="decimal"/>
      <w:lvlText w:val="%1)"/>
      <w:lvlJc w:val="left"/>
      <w:pPr>
        <w:ind w:left="720" w:hanging="360"/>
      </w:pPr>
      <w:rPr>
        <w:rFonts w:ascii="Calibri Light" w:hAnsi="Calibri Light" w:cs="Arial Unicode M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AA38CB"/>
    <w:multiLevelType w:val="hybridMultilevel"/>
    <w:tmpl w:val="604243F0"/>
    <w:lvl w:ilvl="0" w:tplc="83A01F12">
      <w:start w:val="1"/>
      <w:numFmt w:val="decimal"/>
      <w:lvlText w:val="%1)"/>
      <w:lvlJc w:val="left"/>
      <w:pPr>
        <w:ind w:left="720" w:hanging="360"/>
      </w:pPr>
      <w:rPr>
        <w:rFonts w:ascii="Calibri Light" w:hAnsi="Calibri Light" w:cs="Arial Unicode M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6C42A7"/>
    <w:multiLevelType w:val="hybridMultilevel"/>
    <w:tmpl w:val="AE405B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125C14"/>
    <w:multiLevelType w:val="multilevel"/>
    <w:tmpl w:val="8D64AA4E"/>
    <w:styleLink w:val="WW8Num3"/>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2515C85"/>
    <w:multiLevelType w:val="hybridMultilevel"/>
    <w:tmpl w:val="57642E5A"/>
    <w:lvl w:ilvl="0" w:tplc="FFFFFFFF">
      <w:start w:val="1"/>
      <w:numFmt w:val="decimal"/>
      <w:lvlText w:val="%1."/>
      <w:lvlJc w:val="left"/>
      <w:pPr>
        <w:ind w:left="1854" w:hanging="360"/>
      </w:pPr>
      <w:rPr>
        <w:rFonts w:ascii="Calibri" w:hAnsi="Calibri" w:cs="Calibri" w:hint="default"/>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14" w15:restartNumberingAfterBreak="0">
    <w:nsid w:val="7E473107"/>
    <w:multiLevelType w:val="hybridMultilevel"/>
    <w:tmpl w:val="636A4BCE"/>
    <w:lvl w:ilvl="0" w:tplc="0444F35A">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27992318">
    <w:abstractNumId w:val="0"/>
  </w:num>
  <w:num w:numId="2" w16cid:durableId="757290182">
    <w:abstractNumId w:val="1"/>
  </w:num>
  <w:num w:numId="3" w16cid:durableId="513762934">
    <w:abstractNumId w:val="2"/>
  </w:num>
  <w:num w:numId="4" w16cid:durableId="1001665314">
    <w:abstractNumId w:val="3"/>
  </w:num>
  <w:num w:numId="5" w16cid:durableId="245384277">
    <w:abstractNumId w:val="12"/>
  </w:num>
  <w:num w:numId="6" w16cid:durableId="1246305506">
    <w:abstractNumId w:val="14"/>
  </w:num>
  <w:num w:numId="7" w16cid:durableId="1511799466">
    <w:abstractNumId w:val="4"/>
  </w:num>
  <w:num w:numId="8" w16cid:durableId="303895297">
    <w:abstractNumId w:val="6"/>
    <w:lvlOverride w:ilvl="0">
      <w:lvl w:ilvl="0">
        <w:start w:val="1"/>
        <w:numFmt w:val="lowerLetter"/>
        <w:lvlText w:val="%1)"/>
        <w:lvlJc w:val="left"/>
        <w:pPr>
          <w:ind w:left="720" w:hanging="360"/>
        </w:pPr>
        <w:rPr>
          <w:rFonts w:ascii="Times New Roman" w:eastAsia="Times New Roman" w:hAnsi="Times New Roman" w:cs="Times New Roman"/>
        </w:rPr>
      </w:lvl>
    </w:lvlOverride>
  </w:num>
  <w:num w:numId="9" w16cid:durableId="137577457">
    <w:abstractNumId w:val="12"/>
    <w:lvlOverride w:ilvl="0">
      <w:startOverride w:val="1"/>
    </w:lvlOverride>
  </w:num>
  <w:num w:numId="10" w16cid:durableId="61299089">
    <w:abstractNumId w:val="6"/>
    <w:lvlOverride w:ilvl="0">
      <w:startOverride w:val="1"/>
    </w:lvlOverride>
  </w:num>
  <w:num w:numId="11" w16cid:durableId="1827819092">
    <w:abstractNumId w:val="6"/>
  </w:num>
  <w:num w:numId="12" w16cid:durableId="1409838338">
    <w:abstractNumId w:val="10"/>
  </w:num>
  <w:num w:numId="13" w16cid:durableId="78334968">
    <w:abstractNumId w:val="9"/>
  </w:num>
  <w:num w:numId="14" w16cid:durableId="571695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3681363">
    <w:abstractNumId w:val="8"/>
  </w:num>
  <w:num w:numId="16" w16cid:durableId="578174157">
    <w:abstractNumId w:val="13"/>
  </w:num>
  <w:num w:numId="17" w16cid:durableId="1479415326">
    <w:abstractNumId w:val="7"/>
  </w:num>
  <w:num w:numId="18" w16cid:durableId="1553736317">
    <w:abstractNumId w:val="5"/>
  </w:num>
  <w:num w:numId="19" w16cid:durableId="642808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D6"/>
    <w:rsid w:val="00012302"/>
    <w:rsid w:val="00033BDD"/>
    <w:rsid w:val="000553E2"/>
    <w:rsid w:val="00090E10"/>
    <w:rsid w:val="000D4011"/>
    <w:rsid w:val="001011BD"/>
    <w:rsid w:val="001574BC"/>
    <w:rsid w:val="001645E2"/>
    <w:rsid w:val="00195240"/>
    <w:rsid w:val="001C2CA8"/>
    <w:rsid w:val="00274C7F"/>
    <w:rsid w:val="002A086A"/>
    <w:rsid w:val="002E76CA"/>
    <w:rsid w:val="00307D6A"/>
    <w:rsid w:val="00315757"/>
    <w:rsid w:val="00324904"/>
    <w:rsid w:val="00371A55"/>
    <w:rsid w:val="004626C9"/>
    <w:rsid w:val="00536777"/>
    <w:rsid w:val="00552A16"/>
    <w:rsid w:val="0057372D"/>
    <w:rsid w:val="00636B85"/>
    <w:rsid w:val="00651844"/>
    <w:rsid w:val="006A6557"/>
    <w:rsid w:val="00721892"/>
    <w:rsid w:val="00792B93"/>
    <w:rsid w:val="007A3DD0"/>
    <w:rsid w:val="007A4BDE"/>
    <w:rsid w:val="008205AE"/>
    <w:rsid w:val="00845BB7"/>
    <w:rsid w:val="00864343"/>
    <w:rsid w:val="00871010"/>
    <w:rsid w:val="008A4D6D"/>
    <w:rsid w:val="008D59D5"/>
    <w:rsid w:val="00AB5076"/>
    <w:rsid w:val="00B407A3"/>
    <w:rsid w:val="00B92A67"/>
    <w:rsid w:val="00BB209F"/>
    <w:rsid w:val="00BE597D"/>
    <w:rsid w:val="00BE5CEC"/>
    <w:rsid w:val="00BF3C65"/>
    <w:rsid w:val="00C3500A"/>
    <w:rsid w:val="00C66BB4"/>
    <w:rsid w:val="00CA7E6E"/>
    <w:rsid w:val="00CC0905"/>
    <w:rsid w:val="00D34F04"/>
    <w:rsid w:val="00D77ED0"/>
    <w:rsid w:val="00D84988"/>
    <w:rsid w:val="00DB283F"/>
    <w:rsid w:val="00DC3032"/>
    <w:rsid w:val="00DE05D6"/>
    <w:rsid w:val="00E10DA9"/>
    <w:rsid w:val="00E2742B"/>
    <w:rsid w:val="00E50E3E"/>
    <w:rsid w:val="00EB5714"/>
    <w:rsid w:val="00EC5624"/>
    <w:rsid w:val="00EE1E94"/>
    <w:rsid w:val="00F24317"/>
    <w:rsid w:val="00FA3E71"/>
    <w:rsid w:val="00FC7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8131"/>
  <w15:chartTrackingRefBased/>
  <w15:docId w15:val="{BBB90A8A-110A-42E8-AFA9-66789623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E05D6"/>
  </w:style>
  <w:style w:type="paragraph" w:styleId="Tekstpodstawowy">
    <w:name w:val="Body Text"/>
    <w:basedOn w:val="Normalny"/>
    <w:link w:val="TekstpodstawowyZnak"/>
    <w:rsid w:val="00DE05D6"/>
    <w:pPr>
      <w:widowControl w:val="0"/>
      <w:suppressAutoHyphens/>
      <w:spacing w:after="120" w:line="100" w:lineRule="atLeast"/>
      <w:textAlignment w:val="baseline"/>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DE05D6"/>
    <w:rPr>
      <w:rFonts w:ascii="Times New Roman" w:eastAsia="SimSun" w:hAnsi="Times New Roman" w:cs="Mangal"/>
      <w:kern w:val="1"/>
      <w:sz w:val="24"/>
      <w:szCs w:val="24"/>
      <w:lang w:eastAsia="hi-IN" w:bidi="hi-IN"/>
    </w:rPr>
  </w:style>
  <w:style w:type="paragraph" w:customStyle="1" w:styleId="Normalny1">
    <w:name w:val="Normalny1"/>
    <w:rsid w:val="00DE05D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tyt">
    <w:name w:val="tyt"/>
    <w:basedOn w:val="Normalny"/>
    <w:rsid w:val="00DE05D6"/>
    <w:pPr>
      <w:keepNext/>
      <w:widowControl w:val="0"/>
      <w:suppressAutoHyphens/>
      <w:spacing w:before="60" w:after="60" w:line="100" w:lineRule="atLeast"/>
      <w:jc w:val="center"/>
      <w:textAlignment w:val="baseline"/>
    </w:pPr>
    <w:rPr>
      <w:rFonts w:ascii="Times New Roman" w:eastAsia="SimSun" w:hAnsi="Times New Roman" w:cs="Mangal"/>
      <w:b/>
      <w:kern w:val="1"/>
      <w:sz w:val="24"/>
      <w:szCs w:val="24"/>
      <w:lang w:eastAsia="hi-IN" w:bidi="hi-IN"/>
    </w:rPr>
  </w:style>
  <w:style w:type="paragraph" w:styleId="NormalnyWeb">
    <w:name w:val="Normal (Web)"/>
    <w:basedOn w:val="Normalny"/>
    <w:rsid w:val="00DE05D6"/>
    <w:pPr>
      <w:widowControl w:val="0"/>
      <w:suppressAutoHyphens/>
      <w:spacing w:before="280" w:after="280" w:line="100" w:lineRule="atLeast"/>
      <w:textAlignment w:val="baseline"/>
    </w:pPr>
    <w:rPr>
      <w:rFonts w:ascii="Times New Roman" w:eastAsia="SimSun" w:hAnsi="Times New Roman" w:cs="Mangal"/>
      <w:kern w:val="1"/>
      <w:sz w:val="24"/>
      <w:szCs w:val="24"/>
      <w:lang w:eastAsia="hi-IN" w:bidi="hi-IN"/>
    </w:rPr>
  </w:style>
  <w:style w:type="paragraph" w:customStyle="1" w:styleId="msonormal0">
    <w:name w:val="msonormal"/>
    <w:basedOn w:val="Normalny"/>
    <w:rsid w:val="007A4B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7A4BD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7A4BDE"/>
    <w:rPr>
      <w:rFonts w:ascii="Times New Roman" w:eastAsia="Times New Roman" w:hAnsi="Times New Roman" w:cs="Times New Roman"/>
      <w:sz w:val="24"/>
      <w:szCs w:val="24"/>
      <w:lang w:eastAsia="pl-PL"/>
    </w:rPr>
  </w:style>
  <w:style w:type="paragraph" w:styleId="Stopka">
    <w:name w:val="footer"/>
    <w:basedOn w:val="Normalny"/>
    <w:link w:val="StopkaZnak"/>
    <w:semiHidden/>
    <w:unhideWhenUsed/>
    <w:rsid w:val="007A4BD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7A4BDE"/>
    <w:rPr>
      <w:rFonts w:ascii="Times New Roman" w:eastAsia="Times New Roman" w:hAnsi="Times New Roman" w:cs="Times New Roman"/>
      <w:sz w:val="24"/>
      <w:szCs w:val="24"/>
      <w:lang w:eastAsia="pl-PL"/>
    </w:rPr>
  </w:style>
  <w:style w:type="table" w:styleId="Tabela-Siatka">
    <w:name w:val="Table Grid"/>
    <w:basedOn w:val="Standardowy"/>
    <w:rsid w:val="007A4BD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Bezlisty"/>
    <w:rsid w:val="007A4BDE"/>
    <w:pPr>
      <w:numPr>
        <w:numId w:val="5"/>
      </w:numPr>
    </w:pPr>
  </w:style>
  <w:style w:type="paragraph" w:styleId="Akapitzlist">
    <w:name w:val="List Paragraph"/>
    <w:basedOn w:val="Normalny"/>
    <w:uiPriority w:val="34"/>
    <w:qFormat/>
    <w:rsid w:val="007A4BDE"/>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paragraph" w:customStyle="1" w:styleId="Standard">
    <w:name w:val="Standard"/>
    <w:rsid w:val="00307D6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307D6A"/>
    <w:pPr>
      <w:numPr>
        <w:numId w:val="11"/>
      </w:numPr>
    </w:pPr>
  </w:style>
  <w:style w:type="paragraph" w:styleId="Tekstdymka">
    <w:name w:val="Balloon Text"/>
    <w:basedOn w:val="Normalny"/>
    <w:link w:val="TekstdymkaZnak"/>
    <w:uiPriority w:val="99"/>
    <w:semiHidden/>
    <w:unhideWhenUsed/>
    <w:rsid w:val="00090E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0E10"/>
    <w:rPr>
      <w:rFonts w:ascii="Segoe UI" w:hAnsi="Segoe UI" w:cs="Segoe UI"/>
      <w:sz w:val="18"/>
      <w:szCs w:val="18"/>
    </w:rPr>
  </w:style>
  <w:style w:type="character" w:styleId="Hipercze">
    <w:name w:val="Hyperlink"/>
    <w:rsid w:val="00DC3032"/>
    <w:rPr>
      <w:color w:val="0000FF"/>
      <w:u w:val="single"/>
    </w:rPr>
  </w:style>
  <w:style w:type="paragraph" w:customStyle="1" w:styleId="Textbody">
    <w:name w:val="Text body"/>
    <w:basedOn w:val="Normalny"/>
    <w:rsid w:val="00651844"/>
    <w:pPr>
      <w:suppressAutoHyphens/>
      <w:autoSpaceDN w:val="0"/>
      <w:spacing w:after="120" w:line="240" w:lineRule="auto"/>
      <w:textAlignment w:val="baseline"/>
    </w:pPr>
    <w:rPr>
      <w:rFonts w:ascii="Times New Roman" w:eastAsia="Times New Roman" w:hAnsi="Times New Roman" w:cs="Arial Unicode MS"/>
      <w:color w:val="000000"/>
      <w:kern w:val="3"/>
      <w:sz w:val="24"/>
      <w:szCs w:val="24"/>
      <w:lang w:eastAsia="pl-PL"/>
    </w:rPr>
  </w:style>
  <w:style w:type="paragraph" w:styleId="Tekstpodstawowywcity">
    <w:name w:val="Body Text Indent"/>
    <w:basedOn w:val="Normalny"/>
    <w:link w:val="TekstpodstawowywcityZnak"/>
    <w:uiPriority w:val="99"/>
    <w:semiHidden/>
    <w:unhideWhenUsed/>
    <w:rsid w:val="00F24317"/>
    <w:pPr>
      <w:spacing w:after="120"/>
      <w:ind w:left="283"/>
    </w:pPr>
  </w:style>
  <w:style w:type="character" w:customStyle="1" w:styleId="TekstpodstawowywcityZnak">
    <w:name w:val="Tekst podstawowy wcięty Znak"/>
    <w:basedOn w:val="Domylnaczcionkaakapitu"/>
    <w:link w:val="Tekstpodstawowywcity"/>
    <w:uiPriority w:val="99"/>
    <w:semiHidden/>
    <w:rsid w:val="00F24317"/>
  </w:style>
  <w:style w:type="character" w:customStyle="1" w:styleId="FontStyle24">
    <w:name w:val="Font Style24"/>
    <w:rsid w:val="00F24317"/>
    <w:rPr>
      <w:rFonts w:ascii="Times New Roman" w:eastAsia="Times New Roman" w:hAnsi="Times New Roman" w:cs="Times New Roman" w:hint="default"/>
      <w:color w:val="000000"/>
      <w:sz w:val="22"/>
      <w:szCs w:val="22"/>
    </w:r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7050">
      <w:bodyDiv w:val="1"/>
      <w:marLeft w:val="0"/>
      <w:marRight w:val="0"/>
      <w:marTop w:val="0"/>
      <w:marBottom w:val="0"/>
      <w:divBdr>
        <w:top w:val="none" w:sz="0" w:space="0" w:color="auto"/>
        <w:left w:val="none" w:sz="0" w:space="0" w:color="auto"/>
        <w:bottom w:val="none" w:sz="0" w:space="0" w:color="auto"/>
        <w:right w:val="none" w:sz="0" w:space="0" w:color="auto"/>
      </w:divBdr>
    </w:div>
    <w:div w:id="690112963">
      <w:bodyDiv w:val="1"/>
      <w:marLeft w:val="0"/>
      <w:marRight w:val="0"/>
      <w:marTop w:val="0"/>
      <w:marBottom w:val="0"/>
      <w:divBdr>
        <w:top w:val="none" w:sz="0" w:space="0" w:color="auto"/>
        <w:left w:val="none" w:sz="0" w:space="0" w:color="auto"/>
        <w:bottom w:val="none" w:sz="0" w:space="0" w:color="auto"/>
        <w:right w:val="none" w:sz="0" w:space="0" w:color="auto"/>
      </w:divBdr>
    </w:div>
    <w:div w:id="800152863">
      <w:bodyDiv w:val="1"/>
      <w:marLeft w:val="0"/>
      <w:marRight w:val="0"/>
      <w:marTop w:val="0"/>
      <w:marBottom w:val="0"/>
      <w:divBdr>
        <w:top w:val="none" w:sz="0" w:space="0" w:color="auto"/>
        <w:left w:val="none" w:sz="0" w:space="0" w:color="auto"/>
        <w:bottom w:val="none" w:sz="0" w:space="0" w:color="auto"/>
        <w:right w:val="none" w:sz="0" w:space="0" w:color="auto"/>
      </w:divBdr>
    </w:div>
    <w:div w:id="1110516313">
      <w:bodyDiv w:val="1"/>
      <w:marLeft w:val="0"/>
      <w:marRight w:val="0"/>
      <w:marTop w:val="0"/>
      <w:marBottom w:val="0"/>
      <w:divBdr>
        <w:top w:val="none" w:sz="0" w:space="0" w:color="auto"/>
        <w:left w:val="none" w:sz="0" w:space="0" w:color="auto"/>
        <w:bottom w:val="none" w:sz="0" w:space="0" w:color="auto"/>
        <w:right w:val="none" w:sz="0" w:space="0" w:color="auto"/>
      </w:divBdr>
    </w:div>
    <w:div w:id="1708336995">
      <w:bodyDiv w:val="1"/>
      <w:marLeft w:val="0"/>
      <w:marRight w:val="0"/>
      <w:marTop w:val="0"/>
      <w:marBottom w:val="0"/>
      <w:divBdr>
        <w:top w:val="none" w:sz="0" w:space="0" w:color="auto"/>
        <w:left w:val="none" w:sz="0" w:space="0" w:color="auto"/>
        <w:bottom w:val="none" w:sz="0" w:space="0" w:color="auto"/>
        <w:right w:val="none" w:sz="0" w:space="0" w:color="auto"/>
      </w:divBdr>
    </w:div>
    <w:div w:id="17251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08E7-BAE5-4122-9EEA-FD3A96C1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5362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uzytkownik1</dc:creator>
  <cp:keywords/>
  <dc:description/>
  <cp:lastModifiedBy>Inwestycje</cp:lastModifiedBy>
  <cp:revision>5</cp:revision>
  <cp:lastPrinted>2018-01-11T10:45:00Z</cp:lastPrinted>
  <dcterms:created xsi:type="dcterms:W3CDTF">2022-07-04T09:01:00Z</dcterms:created>
  <dcterms:modified xsi:type="dcterms:W3CDTF">2022-07-26T10:24:00Z</dcterms:modified>
</cp:coreProperties>
</file>