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>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310B8" w:rsidRPr="007310B8">
        <w:rPr>
          <w:rFonts w:ascii="Calibri" w:hAnsi="Calibri"/>
          <w:b/>
          <w:bCs/>
          <w:i/>
        </w:rPr>
        <w:t>Przeprowadzenie praktyk zawodowych z przedmiotu Chirurgia i  pielęgniarstwo chirurgiczne dla studentów kierunku Pielęgniarstwo w semestrze zimowym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6"/>
        <w:gridCol w:w="7225"/>
        <w:gridCol w:w="1134"/>
        <w:gridCol w:w="1134"/>
        <w:gridCol w:w="1418"/>
        <w:gridCol w:w="1559"/>
      </w:tblGrid>
      <w:tr w:rsidR="00A319B3" w:rsidRPr="00CC7FC6" w:rsidTr="00A319B3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A319B3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BC068D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E16754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25.10.2023 –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BC068D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A319B3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25.10.2023 –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BC068D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A319B3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25.10.2023 –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BC068D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A319B3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25.10.2023 –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BB4365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21.11.2023 – 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35311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21.11.2023 – 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CB17A9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21.11.2023 – 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2006B0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21.11.2023 – 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1B61AE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526877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44083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AD5EC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F408E6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ED7683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327980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13.12.2023 – 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A96DCF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2138FB">
        <w:trPr>
          <w:trHeight w:val="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CB3952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 w:rsidRPr="00BC068D">
              <w:rPr>
                <w:rFonts w:ascii="Calibri" w:eastAsia="Calibri" w:hAnsi="Calibri" w:cs="Calibr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146D5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5556DB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96056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>Chirurgia i  pielęgniarstwo chirurgiczne</w:t>
            </w:r>
            <w:r w:rsidRPr="009E6DD0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BC068D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cstheme="minorHAnsi"/>
                <w:sz w:val="20"/>
                <w:szCs w:val="20"/>
              </w:rPr>
              <w:t>19.01.2024 – 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A319B3" w:rsidP="00A319B3">
            <w:pPr>
              <w:jc w:val="center"/>
            </w:pPr>
            <w:r w:rsidRPr="008B0DB5"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A319B3">
        <w:trPr>
          <w:trHeight w:val="695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013E01" w:rsidRDefault="00A319B3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313557" w:rsidP="000C1893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720F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FF40F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3E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D3232A">
        <w:trPr>
          <w:trHeight w:val="6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1A0DA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0015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957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13557" w:rsidP="00313557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Pr="00313557">
              <w:rPr>
                <w:rFonts w:cstheme="minorHAnsi"/>
                <w:b/>
                <w:i/>
                <w:lang w:eastAsia="pl-PL"/>
              </w:rPr>
              <w:t>oddział chirurgii ogólnej, chirurgiczny</w:t>
            </w:r>
            <w:r w:rsidRPr="00313557">
              <w:rPr>
                <w:rFonts w:cstheme="minorHAnsi"/>
                <w:lang w:eastAsia="pl-PL"/>
              </w:rPr>
              <w:t>, ortopedyczny, urologiczny w tym 0,5 tygodnia na bloku operacyjnym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lastRenderedPageBreak/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313557" w:rsidP="000A4820">
            <w:pPr>
              <w:spacing w:line="360" w:lineRule="auto"/>
              <w:jc w:val="center"/>
            </w:pPr>
          </w:p>
        </w:tc>
        <w:tc>
          <w:tcPr>
            <w:tcW w:w="1351" w:type="dxa"/>
          </w:tcPr>
          <w:p w:rsidR="00313557" w:rsidRPr="00CC7FC6" w:rsidRDefault="00313557" w:rsidP="000A4820">
            <w:pPr>
              <w:spacing w:line="360" w:lineRule="auto"/>
              <w:jc w:val="center"/>
            </w:pP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>Przeprowadzenie praktyk zawodowych z przedmiotu Chirurgia i  pielęgniarstwo chirurgiczne dla studentów kierunku Pielęgniarstwo w semestrze zimowym roku akademickiego 2023/2024</w:t>
      </w:r>
      <w:bookmarkStart w:id="0" w:name="_GoBack"/>
      <w:bookmarkEnd w:id="0"/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79" w:rsidRDefault="00415779" w:rsidP="0014647A">
      <w:pPr>
        <w:spacing w:after="0" w:line="240" w:lineRule="auto"/>
      </w:pPr>
      <w:r>
        <w:separator/>
      </w:r>
    </w:p>
  </w:endnote>
  <w:endnote w:type="continuationSeparator" w:id="0">
    <w:p w:rsidR="00415779" w:rsidRDefault="00415779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79" w:rsidRDefault="00415779" w:rsidP="0014647A">
      <w:pPr>
        <w:spacing w:after="0" w:line="240" w:lineRule="auto"/>
      </w:pPr>
      <w:r>
        <w:separator/>
      </w:r>
    </w:p>
  </w:footnote>
  <w:footnote w:type="continuationSeparator" w:id="0">
    <w:p w:rsidR="00415779" w:rsidRDefault="00415779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9E6DD0">
      <w:t>1</w:t>
    </w:r>
    <w:r w:rsidR="007310B8">
      <w:t>3</w:t>
    </w:r>
    <w:r w:rsidR="009E6DD0">
      <w:t>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71B7F"/>
    <w:rsid w:val="00286D2B"/>
    <w:rsid w:val="002B0960"/>
    <w:rsid w:val="002F24D7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A1DFD"/>
    <w:rsid w:val="00BA3B10"/>
    <w:rsid w:val="00BB590C"/>
    <w:rsid w:val="00BC068D"/>
    <w:rsid w:val="00BE637F"/>
    <w:rsid w:val="00BF5F29"/>
    <w:rsid w:val="00C05EFF"/>
    <w:rsid w:val="00C427A7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A0807F-1574-4E41-BBD4-9AF1293C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98</cp:revision>
  <cp:lastPrinted>2023-01-18T10:28:00Z</cp:lastPrinted>
  <dcterms:created xsi:type="dcterms:W3CDTF">2021-01-17T18:36:00Z</dcterms:created>
  <dcterms:modified xsi:type="dcterms:W3CDTF">2023-09-11T10:59:00Z</dcterms:modified>
</cp:coreProperties>
</file>