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88" w:rsidRDefault="00D05688" w:rsidP="006D2A0D">
      <w:pPr>
        <w:spacing w:line="360" w:lineRule="auto"/>
        <w:ind w:left="426"/>
        <w:jc w:val="both"/>
        <w:rPr>
          <w:rFonts w:cs="Calibri"/>
          <w:b/>
          <w:bCs/>
        </w:rPr>
      </w:pPr>
      <w:r w:rsidRPr="00D05688">
        <w:rPr>
          <w:rFonts w:cs="Calibri"/>
          <w:b/>
          <w:bCs/>
        </w:rPr>
        <w:t>Załącznik nr 3 do SIWZ – Wytyczne Inwestora w zakresie modernizacji</w:t>
      </w:r>
    </w:p>
    <w:p w:rsidR="00D05688" w:rsidRDefault="00D05688" w:rsidP="006D2A0D">
      <w:pPr>
        <w:spacing w:line="360" w:lineRule="auto"/>
        <w:ind w:left="426"/>
        <w:jc w:val="both"/>
        <w:rPr>
          <w:rFonts w:cs="Calibri"/>
          <w:b/>
          <w:bCs/>
        </w:rPr>
      </w:pPr>
    </w:p>
    <w:p w:rsidR="00D05688" w:rsidRDefault="00D05688" w:rsidP="006D2A0D">
      <w:pPr>
        <w:spacing w:line="360" w:lineRule="auto"/>
        <w:ind w:left="426"/>
        <w:jc w:val="both"/>
        <w:rPr>
          <w:rFonts w:cs="Calibri"/>
        </w:rPr>
      </w:pPr>
      <w:bookmarkStart w:id="0" w:name="_GoBack"/>
      <w:bookmarkEnd w:id="0"/>
    </w:p>
    <w:p w:rsidR="006D2A0D" w:rsidRDefault="007E7DFF" w:rsidP="006D2A0D">
      <w:pPr>
        <w:spacing w:line="360" w:lineRule="auto"/>
        <w:ind w:left="426"/>
        <w:jc w:val="both"/>
        <w:rPr>
          <w:rFonts w:eastAsia="Calibri"/>
          <w:szCs w:val="24"/>
          <w:lang w:eastAsia="en-US"/>
        </w:rPr>
      </w:pPr>
      <w:r>
        <w:rPr>
          <w:szCs w:val="13"/>
        </w:rPr>
        <w:t xml:space="preserve">Przedmiotem zamówienia jest wykonanie </w:t>
      </w:r>
      <w:r w:rsidRPr="00800E8E">
        <w:rPr>
          <w:rFonts w:eastAsia="Calibri"/>
          <w:szCs w:val="24"/>
          <w:lang w:eastAsia="en-US"/>
        </w:rPr>
        <w:t>modernizacj</w:t>
      </w:r>
      <w:r>
        <w:rPr>
          <w:rFonts w:eastAsia="Calibri"/>
          <w:szCs w:val="24"/>
          <w:lang w:eastAsia="en-US"/>
        </w:rPr>
        <w:t>i</w:t>
      </w:r>
      <w:r w:rsidR="006D2A0D">
        <w:rPr>
          <w:rFonts w:eastAsia="Calibri"/>
          <w:szCs w:val="24"/>
          <w:lang w:eastAsia="en-US"/>
        </w:rPr>
        <w:t xml:space="preserve"> trzech kotłów (WR-10, WR-10, WRp-12) polegającej na zastosowanie ograniczeń mocy w systemie </w:t>
      </w:r>
      <w:proofErr w:type="spellStart"/>
      <w:r w:rsidR="006D2A0D">
        <w:rPr>
          <w:rFonts w:eastAsia="Calibri"/>
          <w:szCs w:val="24"/>
          <w:lang w:eastAsia="en-US"/>
        </w:rPr>
        <w:t>AKPiA</w:t>
      </w:r>
      <w:proofErr w:type="spellEnd"/>
      <w:r w:rsidR="006D2A0D">
        <w:rPr>
          <w:rFonts w:eastAsia="Calibri"/>
          <w:szCs w:val="24"/>
          <w:lang w:eastAsia="en-US"/>
        </w:rPr>
        <w:t xml:space="preserve"> wg specyfikacji:</w:t>
      </w:r>
    </w:p>
    <w:tbl>
      <w:tblPr>
        <w:tblStyle w:val="Tabela-Siatka"/>
        <w:tblW w:w="0" w:type="auto"/>
        <w:tblLook w:val="04A0" w:firstRow="1" w:lastRow="0" w:firstColumn="1" w:lastColumn="0" w:noHBand="0" w:noVBand="1"/>
      </w:tblPr>
      <w:tblGrid>
        <w:gridCol w:w="1980"/>
        <w:gridCol w:w="1559"/>
        <w:gridCol w:w="1985"/>
        <w:gridCol w:w="1842"/>
        <w:gridCol w:w="1418"/>
      </w:tblGrid>
      <w:tr w:rsidR="00913727" w:rsidTr="00913727">
        <w:tc>
          <w:tcPr>
            <w:tcW w:w="1980" w:type="dxa"/>
            <w:vMerge w:val="restart"/>
          </w:tcPr>
          <w:p w:rsidR="00913727" w:rsidRDefault="00913727" w:rsidP="0068667A">
            <w:pPr>
              <w:jc w:val="center"/>
              <w:rPr>
                <w:szCs w:val="24"/>
              </w:rPr>
            </w:pPr>
            <w:r>
              <w:rPr>
                <w:szCs w:val="24"/>
              </w:rPr>
              <w:t>Zakład</w:t>
            </w:r>
          </w:p>
        </w:tc>
        <w:tc>
          <w:tcPr>
            <w:tcW w:w="1559" w:type="dxa"/>
            <w:vMerge w:val="restart"/>
          </w:tcPr>
          <w:p w:rsidR="00913727" w:rsidRDefault="00913727" w:rsidP="0068667A">
            <w:pPr>
              <w:jc w:val="center"/>
              <w:rPr>
                <w:szCs w:val="24"/>
              </w:rPr>
            </w:pPr>
            <w:r>
              <w:rPr>
                <w:szCs w:val="24"/>
              </w:rPr>
              <w:t>Kocioł</w:t>
            </w:r>
          </w:p>
        </w:tc>
        <w:tc>
          <w:tcPr>
            <w:tcW w:w="1985" w:type="dxa"/>
          </w:tcPr>
          <w:p w:rsidR="00913727" w:rsidRDefault="00913727" w:rsidP="0068667A">
            <w:pPr>
              <w:jc w:val="center"/>
              <w:rPr>
                <w:szCs w:val="24"/>
              </w:rPr>
            </w:pPr>
            <w:r>
              <w:rPr>
                <w:szCs w:val="24"/>
              </w:rPr>
              <w:t>Wydajność przed modernizacją</w:t>
            </w:r>
          </w:p>
        </w:tc>
        <w:tc>
          <w:tcPr>
            <w:tcW w:w="1842" w:type="dxa"/>
          </w:tcPr>
          <w:p w:rsidR="00913727" w:rsidRDefault="00913727" w:rsidP="0068667A">
            <w:pPr>
              <w:jc w:val="center"/>
              <w:rPr>
                <w:szCs w:val="24"/>
              </w:rPr>
            </w:pPr>
            <w:r>
              <w:rPr>
                <w:szCs w:val="24"/>
              </w:rPr>
              <w:t>Wydajność po modernizacji</w:t>
            </w:r>
          </w:p>
        </w:tc>
        <w:tc>
          <w:tcPr>
            <w:tcW w:w="1418" w:type="dxa"/>
          </w:tcPr>
          <w:p w:rsidR="00913727" w:rsidRDefault="00913727" w:rsidP="0068667A">
            <w:pPr>
              <w:jc w:val="center"/>
              <w:rPr>
                <w:szCs w:val="24"/>
              </w:rPr>
            </w:pPr>
            <w:r>
              <w:rPr>
                <w:szCs w:val="24"/>
              </w:rPr>
              <w:t>Sprawność kotła</w:t>
            </w:r>
          </w:p>
        </w:tc>
      </w:tr>
      <w:tr w:rsidR="00913727" w:rsidTr="00913727">
        <w:tc>
          <w:tcPr>
            <w:tcW w:w="1980" w:type="dxa"/>
            <w:vMerge/>
          </w:tcPr>
          <w:p w:rsidR="00913727" w:rsidRDefault="00913727" w:rsidP="0068667A">
            <w:pPr>
              <w:rPr>
                <w:szCs w:val="24"/>
              </w:rPr>
            </w:pPr>
          </w:p>
        </w:tc>
        <w:tc>
          <w:tcPr>
            <w:tcW w:w="1559" w:type="dxa"/>
            <w:vMerge/>
          </w:tcPr>
          <w:p w:rsidR="00913727" w:rsidRDefault="00913727" w:rsidP="0068667A">
            <w:pPr>
              <w:rPr>
                <w:szCs w:val="24"/>
              </w:rPr>
            </w:pPr>
          </w:p>
        </w:tc>
        <w:tc>
          <w:tcPr>
            <w:tcW w:w="1985" w:type="dxa"/>
          </w:tcPr>
          <w:p w:rsidR="00913727" w:rsidRPr="004F1FE0" w:rsidRDefault="00913727" w:rsidP="0068667A">
            <w:pPr>
              <w:jc w:val="center"/>
              <w:rPr>
                <w:sz w:val="20"/>
                <w:szCs w:val="24"/>
              </w:rPr>
            </w:pPr>
            <w:r w:rsidRPr="004F1FE0">
              <w:rPr>
                <w:sz w:val="20"/>
                <w:szCs w:val="24"/>
              </w:rPr>
              <w:t>MW</w:t>
            </w:r>
          </w:p>
        </w:tc>
        <w:tc>
          <w:tcPr>
            <w:tcW w:w="1842" w:type="dxa"/>
          </w:tcPr>
          <w:p w:rsidR="00913727" w:rsidRPr="004F1FE0" w:rsidRDefault="00913727" w:rsidP="0068667A">
            <w:pPr>
              <w:jc w:val="center"/>
              <w:rPr>
                <w:sz w:val="20"/>
                <w:szCs w:val="24"/>
              </w:rPr>
            </w:pPr>
            <w:r w:rsidRPr="004F1FE0">
              <w:rPr>
                <w:sz w:val="20"/>
                <w:szCs w:val="24"/>
              </w:rPr>
              <w:t>MW</w:t>
            </w:r>
          </w:p>
        </w:tc>
        <w:tc>
          <w:tcPr>
            <w:tcW w:w="1418" w:type="dxa"/>
          </w:tcPr>
          <w:p w:rsidR="00913727" w:rsidRPr="004F1FE0" w:rsidRDefault="00913727" w:rsidP="0068667A">
            <w:pPr>
              <w:jc w:val="center"/>
              <w:rPr>
                <w:sz w:val="20"/>
                <w:szCs w:val="24"/>
              </w:rPr>
            </w:pPr>
            <w:r w:rsidRPr="004F1FE0">
              <w:rPr>
                <w:sz w:val="20"/>
                <w:szCs w:val="24"/>
              </w:rPr>
              <w:t>%</w:t>
            </w:r>
          </w:p>
        </w:tc>
      </w:tr>
      <w:tr w:rsidR="00913727" w:rsidTr="00913727">
        <w:tc>
          <w:tcPr>
            <w:tcW w:w="1980" w:type="dxa"/>
          </w:tcPr>
          <w:p w:rsidR="00913727" w:rsidRDefault="00913727" w:rsidP="0068667A">
            <w:pPr>
              <w:rPr>
                <w:szCs w:val="24"/>
              </w:rPr>
            </w:pPr>
            <w:r>
              <w:rPr>
                <w:szCs w:val="24"/>
              </w:rPr>
              <w:t>Solec</w:t>
            </w:r>
            <w:r w:rsidRPr="00913727">
              <w:rPr>
                <w:szCs w:val="24"/>
              </w:rPr>
              <w:t xml:space="preserve"> Kujawski</w:t>
            </w:r>
          </w:p>
        </w:tc>
        <w:tc>
          <w:tcPr>
            <w:tcW w:w="1559" w:type="dxa"/>
          </w:tcPr>
          <w:p w:rsidR="00913727" w:rsidRPr="002C0198" w:rsidRDefault="00913727" w:rsidP="0068667A">
            <w:pPr>
              <w:rPr>
                <w:szCs w:val="24"/>
              </w:rPr>
            </w:pPr>
            <w:r w:rsidRPr="002C0198">
              <w:rPr>
                <w:szCs w:val="24"/>
              </w:rPr>
              <w:t>WR10-011</w:t>
            </w:r>
          </w:p>
        </w:tc>
        <w:tc>
          <w:tcPr>
            <w:tcW w:w="1985" w:type="dxa"/>
          </w:tcPr>
          <w:p w:rsidR="00913727" w:rsidRDefault="00913727" w:rsidP="0068667A">
            <w:pPr>
              <w:jc w:val="center"/>
              <w:rPr>
                <w:szCs w:val="24"/>
              </w:rPr>
            </w:pPr>
            <w:r>
              <w:rPr>
                <w:szCs w:val="24"/>
              </w:rPr>
              <w:t>11,63</w:t>
            </w:r>
          </w:p>
        </w:tc>
        <w:tc>
          <w:tcPr>
            <w:tcW w:w="1842" w:type="dxa"/>
          </w:tcPr>
          <w:p w:rsidR="00913727" w:rsidRPr="00D56674" w:rsidRDefault="00913727" w:rsidP="0068667A">
            <w:pPr>
              <w:jc w:val="center"/>
              <w:rPr>
                <w:b/>
                <w:szCs w:val="24"/>
              </w:rPr>
            </w:pPr>
            <w:r w:rsidRPr="00D56674">
              <w:rPr>
                <w:b/>
                <w:szCs w:val="24"/>
              </w:rPr>
              <w:t>9,0</w:t>
            </w:r>
          </w:p>
        </w:tc>
        <w:tc>
          <w:tcPr>
            <w:tcW w:w="1418" w:type="dxa"/>
          </w:tcPr>
          <w:p w:rsidR="00913727" w:rsidRDefault="00913727" w:rsidP="0068667A">
            <w:pPr>
              <w:jc w:val="center"/>
              <w:rPr>
                <w:szCs w:val="24"/>
              </w:rPr>
            </w:pPr>
            <w:r>
              <w:rPr>
                <w:szCs w:val="24"/>
              </w:rPr>
              <w:t>75</w:t>
            </w:r>
          </w:p>
        </w:tc>
      </w:tr>
      <w:tr w:rsidR="00913727" w:rsidTr="00913727">
        <w:tc>
          <w:tcPr>
            <w:tcW w:w="1980" w:type="dxa"/>
          </w:tcPr>
          <w:p w:rsidR="00913727" w:rsidRDefault="00913727" w:rsidP="0068667A">
            <w:pPr>
              <w:rPr>
                <w:szCs w:val="24"/>
              </w:rPr>
            </w:pPr>
            <w:r>
              <w:rPr>
                <w:szCs w:val="24"/>
              </w:rPr>
              <w:t xml:space="preserve">Nakło </w:t>
            </w:r>
            <w:r w:rsidRPr="00913727">
              <w:rPr>
                <w:szCs w:val="24"/>
              </w:rPr>
              <w:t>n/Notecią</w:t>
            </w:r>
          </w:p>
        </w:tc>
        <w:tc>
          <w:tcPr>
            <w:tcW w:w="1559" w:type="dxa"/>
          </w:tcPr>
          <w:p w:rsidR="00913727" w:rsidRPr="002C0198" w:rsidRDefault="00913727" w:rsidP="0068667A">
            <w:pPr>
              <w:rPr>
                <w:szCs w:val="24"/>
              </w:rPr>
            </w:pPr>
            <w:r w:rsidRPr="002C0198">
              <w:rPr>
                <w:szCs w:val="24"/>
              </w:rPr>
              <w:t>WRp-12</w:t>
            </w:r>
          </w:p>
        </w:tc>
        <w:tc>
          <w:tcPr>
            <w:tcW w:w="1985" w:type="dxa"/>
          </w:tcPr>
          <w:p w:rsidR="00913727" w:rsidRDefault="00913727" w:rsidP="0068667A">
            <w:pPr>
              <w:jc w:val="center"/>
              <w:rPr>
                <w:szCs w:val="24"/>
              </w:rPr>
            </w:pPr>
            <w:r>
              <w:rPr>
                <w:szCs w:val="24"/>
              </w:rPr>
              <w:t>12,00</w:t>
            </w:r>
          </w:p>
        </w:tc>
        <w:tc>
          <w:tcPr>
            <w:tcW w:w="1842" w:type="dxa"/>
          </w:tcPr>
          <w:p w:rsidR="00913727" w:rsidRPr="00D56674" w:rsidRDefault="00913727" w:rsidP="0068667A">
            <w:pPr>
              <w:jc w:val="center"/>
              <w:rPr>
                <w:b/>
                <w:szCs w:val="24"/>
              </w:rPr>
            </w:pPr>
            <w:r w:rsidRPr="00D56674">
              <w:rPr>
                <w:b/>
                <w:szCs w:val="24"/>
              </w:rPr>
              <w:t>8,0</w:t>
            </w:r>
          </w:p>
        </w:tc>
        <w:tc>
          <w:tcPr>
            <w:tcW w:w="1418" w:type="dxa"/>
          </w:tcPr>
          <w:p w:rsidR="00913727" w:rsidRDefault="00913727" w:rsidP="0068667A">
            <w:pPr>
              <w:jc w:val="center"/>
              <w:rPr>
                <w:szCs w:val="24"/>
              </w:rPr>
            </w:pPr>
            <w:r>
              <w:rPr>
                <w:szCs w:val="24"/>
              </w:rPr>
              <w:t>74</w:t>
            </w:r>
          </w:p>
        </w:tc>
      </w:tr>
      <w:tr w:rsidR="00913727" w:rsidTr="00913727">
        <w:tc>
          <w:tcPr>
            <w:tcW w:w="1980" w:type="dxa"/>
          </w:tcPr>
          <w:p w:rsidR="00913727" w:rsidRDefault="00913727" w:rsidP="0068667A">
            <w:pPr>
              <w:rPr>
                <w:szCs w:val="24"/>
              </w:rPr>
            </w:pPr>
            <w:r>
              <w:rPr>
                <w:szCs w:val="24"/>
              </w:rPr>
              <w:t>Koronowo</w:t>
            </w:r>
          </w:p>
        </w:tc>
        <w:tc>
          <w:tcPr>
            <w:tcW w:w="1559" w:type="dxa"/>
          </w:tcPr>
          <w:p w:rsidR="00913727" w:rsidRPr="002C0198" w:rsidRDefault="00913727" w:rsidP="0068667A">
            <w:pPr>
              <w:rPr>
                <w:szCs w:val="24"/>
              </w:rPr>
            </w:pPr>
            <w:r w:rsidRPr="002C0198">
              <w:rPr>
                <w:szCs w:val="24"/>
              </w:rPr>
              <w:t>WR10-011</w:t>
            </w:r>
          </w:p>
        </w:tc>
        <w:tc>
          <w:tcPr>
            <w:tcW w:w="1985" w:type="dxa"/>
          </w:tcPr>
          <w:p w:rsidR="00913727" w:rsidRDefault="00913727" w:rsidP="0068667A">
            <w:pPr>
              <w:jc w:val="center"/>
              <w:rPr>
                <w:szCs w:val="24"/>
              </w:rPr>
            </w:pPr>
            <w:r>
              <w:rPr>
                <w:szCs w:val="24"/>
              </w:rPr>
              <w:t>11,63</w:t>
            </w:r>
          </w:p>
        </w:tc>
        <w:tc>
          <w:tcPr>
            <w:tcW w:w="1842" w:type="dxa"/>
          </w:tcPr>
          <w:p w:rsidR="00913727" w:rsidRPr="00D56674" w:rsidRDefault="00913727" w:rsidP="0068667A">
            <w:pPr>
              <w:jc w:val="center"/>
              <w:rPr>
                <w:b/>
                <w:szCs w:val="24"/>
              </w:rPr>
            </w:pPr>
            <w:r w:rsidRPr="00D56674">
              <w:rPr>
                <w:b/>
                <w:szCs w:val="24"/>
              </w:rPr>
              <w:t>5,5</w:t>
            </w:r>
          </w:p>
        </w:tc>
        <w:tc>
          <w:tcPr>
            <w:tcW w:w="1418" w:type="dxa"/>
          </w:tcPr>
          <w:p w:rsidR="00913727" w:rsidRDefault="00913727" w:rsidP="0068667A">
            <w:pPr>
              <w:jc w:val="center"/>
              <w:rPr>
                <w:szCs w:val="24"/>
              </w:rPr>
            </w:pPr>
            <w:r>
              <w:rPr>
                <w:szCs w:val="24"/>
              </w:rPr>
              <w:t>75</w:t>
            </w:r>
          </w:p>
        </w:tc>
      </w:tr>
    </w:tbl>
    <w:p w:rsidR="006D2A0D" w:rsidRDefault="006D2A0D" w:rsidP="006D2A0D">
      <w:pPr>
        <w:spacing w:line="360" w:lineRule="auto"/>
        <w:ind w:left="426"/>
        <w:jc w:val="both"/>
        <w:rPr>
          <w:rFonts w:eastAsia="Calibri"/>
          <w:szCs w:val="24"/>
          <w:lang w:eastAsia="en-US"/>
        </w:rPr>
      </w:pPr>
    </w:p>
    <w:p w:rsidR="006D2A0D" w:rsidRDefault="00F172A5" w:rsidP="006D2A0D">
      <w:pPr>
        <w:spacing w:line="360" w:lineRule="auto"/>
        <w:ind w:left="426"/>
        <w:jc w:val="both"/>
        <w:rPr>
          <w:rFonts w:eastAsia="Calibri"/>
          <w:szCs w:val="24"/>
          <w:lang w:eastAsia="en-US"/>
        </w:rPr>
      </w:pPr>
      <w:r>
        <w:rPr>
          <w:rFonts w:eastAsia="Calibri"/>
          <w:szCs w:val="24"/>
          <w:lang w:eastAsia="en-US"/>
        </w:rPr>
        <w:t>Ograniczenie mocy poszczególnych kotłów ma odbywać się na zasadzie pomiaru chwilowej mocy cieplnej. Przy zbliżaniu się chwilowej mocy cieplnej kotła do wartości maksymalnej (po przekroczeniu progu ostrzegawczego) ma uruchomić się sygnalizacja optyczna i dźwiękowa informująca operatora ciepłowni o konieczności doregulowania kotła. Sygnał dźwiękowy ma posiadać możliwość kwitowania. Sygnał optyczny pozostaje do momentu zmniejszenia mocy chwilowej kotła poniżej progu ostrzegawczego (wartość progu ostrzegawczego do ustalenia). Lampa sygnału optycznego ma być umieszczona w miejscu widocznym z pomieszczenia operatora ciepłowni.</w:t>
      </w:r>
    </w:p>
    <w:p w:rsidR="00F172A5" w:rsidRDefault="00F172A5" w:rsidP="006D2A0D">
      <w:pPr>
        <w:spacing w:line="360" w:lineRule="auto"/>
        <w:ind w:left="426"/>
        <w:jc w:val="both"/>
        <w:rPr>
          <w:rFonts w:eastAsia="Calibri"/>
          <w:szCs w:val="24"/>
          <w:lang w:eastAsia="en-US"/>
        </w:rPr>
      </w:pPr>
      <w:r>
        <w:rPr>
          <w:rFonts w:eastAsia="Calibri"/>
          <w:szCs w:val="24"/>
          <w:lang w:eastAsia="en-US"/>
        </w:rPr>
        <w:t>Jeżeli nastąpi dalszy wzrost chwilowej mocy kotła</w:t>
      </w:r>
      <w:r w:rsidR="00EB1CF8">
        <w:rPr>
          <w:rFonts w:eastAsia="Calibri"/>
          <w:szCs w:val="24"/>
          <w:lang w:eastAsia="en-US"/>
        </w:rPr>
        <w:t xml:space="preserve"> i przekroczy wartość maksymalną, układ ograniczający moc ma uruchomić blokadę kotła przez wyłąc</w:t>
      </w:r>
      <w:r w:rsidR="00135DCF">
        <w:rPr>
          <w:rFonts w:eastAsia="Calibri"/>
          <w:szCs w:val="24"/>
          <w:lang w:eastAsia="en-US"/>
        </w:rPr>
        <w:t>zenie wentylatora podmuchowego,</w:t>
      </w:r>
      <w:r w:rsidR="00EB1CF8">
        <w:rPr>
          <w:rFonts w:eastAsia="Calibri"/>
          <w:szCs w:val="24"/>
          <w:lang w:eastAsia="en-US"/>
        </w:rPr>
        <w:t xml:space="preserve"> wentylatora powietrza wtórnego</w:t>
      </w:r>
      <w:r w:rsidR="00135DCF">
        <w:rPr>
          <w:rFonts w:eastAsia="Calibri"/>
          <w:szCs w:val="24"/>
          <w:lang w:eastAsia="en-US"/>
        </w:rPr>
        <w:t xml:space="preserve"> oraz wentylatora nawrotu koksików lotnych (tylko w przypadku kotła WRp-12)</w:t>
      </w:r>
      <w:r w:rsidR="00EB1CF8">
        <w:rPr>
          <w:rFonts w:eastAsia="Calibri"/>
          <w:szCs w:val="24"/>
          <w:lang w:eastAsia="en-US"/>
        </w:rPr>
        <w:t>.</w:t>
      </w:r>
    </w:p>
    <w:p w:rsidR="00EB1CF8" w:rsidRDefault="00EB1CF8" w:rsidP="006D2A0D">
      <w:pPr>
        <w:spacing w:line="360" w:lineRule="auto"/>
        <w:ind w:left="426"/>
        <w:jc w:val="both"/>
        <w:rPr>
          <w:rFonts w:eastAsia="Calibri"/>
          <w:szCs w:val="24"/>
          <w:lang w:eastAsia="en-US"/>
        </w:rPr>
      </w:pPr>
      <w:r>
        <w:rPr>
          <w:rFonts w:eastAsia="Calibri"/>
          <w:szCs w:val="24"/>
          <w:lang w:eastAsia="en-US"/>
        </w:rPr>
        <w:t>Istniejący układ blokad kotła od minimalnego przepływu, minimalnego ciśnienia oraz maksymalnej</w:t>
      </w:r>
      <w:r w:rsidR="00AF7FC9">
        <w:rPr>
          <w:rFonts w:eastAsia="Calibri"/>
          <w:szCs w:val="24"/>
          <w:lang w:eastAsia="en-US"/>
        </w:rPr>
        <w:t xml:space="preserve"> temperatury wody za kotłem </w:t>
      </w:r>
      <w:r>
        <w:rPr>
          <w:rFonts w:eastAsia="Calibri"/>
          <w:szCs w:val="24"/>
          <w:lang w:eastAsia="en-US"/>
        </w:rPr>
        <w:t>ma pozostać bez zmian. Jedynie ma być dołożony nowy sygnał uruchamiający blokadę po przekroczeniu maksymalnej mocy chwilowej kotła.</w:t>
      </w:r>
    </w:p>
    <w:p w:rsidR="006377DF" w:rsidRDefault="00AF7FC9" w:rsidP="006D2A0D">
      <w:pPr>
        <w:spacing w:line="360" w:lineRule="auto"/>
        <w:ind w:left="426"/>
        <w:jc w:val="both"/>
        <w:rPr>
          <w:rFonts w:eastAsia="Calibri"/>
          <w:szCs w:val="24"/>
          <w:lang w:eastAsia="en-US"/>
        </w:rPr>
      </w:pPr>
      <w:r>
        <w:rPr>
          <w:rFonts w:eastAsia="Calibri"/>
          <w:szCs w:val="24"/>
          <w:lang w:eastAsia="en-US"/>
        </w:rPr>
        <w:t xml:space="preserve">System ograniczający moc kotła ma posiadać „deblokadę” oraz ma być wyposażony w interfejs TCP z protokołem </w:t>
      </w:r>
      <w:proofErr w:type="spellStart"/>
      <w:r>
        <w:rPr>
          <w:rFonts w:eastAsia="Calibri"/>
          <w:szCs w:val="24"/>
          <w:lang w:eastAsia="en-US"/>
        </w:rPr>
        <w:t>Modbus</w:t>
      </w:r>
      <w:proofErr w:type="spellEnd"/>
      <w:r>
        <w:rPr>
          <w:rFonts w:eastAsia="Calibri"/>
          <w:szCs w:val="24"/>
          <w:lang w:eastAsia="en-US"/>
        </w:rPr>
        <w:t xml:space="preserve"> w celu wizualizacji danych w systemie SCADA.</w:t>
      </w:r>
    </w:p>
    <w:p w:rsidR="00AF7FC9" w:rsidRDefault="006377DF" w:rsidP="006D2A0D">
      <w:pPr>
        <w:spacing w:line="360" w:lineRule="auto"/>
        <w:ind w:left="426"/>
        <w:jc w:val="both"/>
        <w:rPr>
          <w:rFonts w:eastAsia="Calibri"/>
          <w:szCs w:val="24"/>
          <w:lang w:eastAsia="en-US"/>
        </w:rPr>
      </w:pPr>
      <w:r>
        <w:rPr>
          <w:rFonts w:eastAsia="Calibri"/>
          <w:szCs w:val="24"/>
          <w:lang w:eastAsia="en-US"/>
        </w:rPr>
        <w:t xml:space="preserve">Po wykonaniu prac modernizacyjnych należy przeprowadzić test działania blokad układu </w:t>
      </w:r>
      <w:proofErr w:type="spellStart"/>
      <w:r>
        <w:rPr>
          <w:rFonts w:eastAsia="Calibri"/>
          <w:szCs w:val="24"/>
          <w:lang w:eastAsia="en-US"/>
        </w:rPr>
        <w:t>AKPiA</w:t>
      </w:r>
      <w:proofErr w:type="spellEnd"/>
      <w:r>
        <w:rPr>
          <w:rFonts w:eastAsia="Calibri"/>
          <w:szCs w:val="24"/>
          <w:lang w:eastAsia="en-US"/>
        </w:rPr>
        <w:t xml:space="preserve"> poszczególnych kotłów z uwzględnieniem blokady ograniczającą moc chwilową.</w:t>
      </w:r>
      <w:r w:rsidR="001F48F3">
        <w:rPr>
          <w:rFonts w:eastAsia="Calibri"/>
          <w:szCs w:val="24"/>
          <w:lang w:eastAsia="en-US"/>
        </w:rPr>
        <w:t xml:space="preserve"> </w:t>
      </w:r>
    </w:p>
    <w:p w:rsidR="001F48F3" w:rsidRDefault="001F48F3" w:rsidP="006D2A0D">
      <w:pPr>
        <w:spacing w:line="360" w:lineRule="auto"/>
        <w:ind w:left="426"/>
        <w:jc w:val="both"/>
        <w:rPr>
          <w:rFonts w:eastAsia="Calibri"/>
          <w:szCs w:val="24"/>
          <w:lang w:eastAsia="en-US"/>
        </w:rPr>
      </w:pPr>
      <w:r>
        <w:rPr>
          <w:rFonts w:eastAsia="Calibri"/>
          <w:szCs w:val="24"/>
          <w:lang w:eastAsia="en-US"/>
        </w:rPr>
        <w:t>Wykonawca przekaże Zamawiającemu DTR zastosowanych urządzeń wraz ze świadectwami zgodności.</w:t>
      </w:r>
    </w:p>
    <w:p w:rsidR="00AF7FC9" w:rsidRPr="00D97986" w:rsidRDefault="00F82CCA" w:rsidP="006D2A0D">
      <w:pPr>
        <w:spacing w:line="360" w:lineRule="auto"/>
        <w:ind w:left="426"/>
        <w:jc w:val="both"/>
        <w:rPr>
          <w:rFonts w:eastAsia="Calibri"/>
          <w:b/>
          <w:szCs w:val="24"/>
          <w:lang w:eastAsia="en-US"/>
        </w:rPr>
      </w:pPr>
      <w:r w:rsidRPr="00D97986">
        <w:rPr>
          <w:rFonts w:eastAsia="Calibri"/>
          <w:b/>
          <w:szCs w:val="24"/>
          <w:lang w:eastAsia="en-US"/>
        </w:rPr>
        <w:lastRenderedPageBreak/>
        <w:t>Wykonawca uzgodni dokumentacje techniczne zawierającą proponowane rozwiązania dla poszczególnych kotłów we właściwym oddziale Urzędu Dozoru Technicznego</w:t>
      </w:r>
      <w:r w:rsidR="00D97986" w:rsidRPr="00D97986">
        <w:rPr>
          <w:rFonts w:eastAsia="Calibri"/>
          <w:b/>
          <w:szCs w:val="24"/>
          <w:lang w:eastAsia="en-US"/>
        </w:rPr>
        <w:t xml:space="preserve"> i </w:t>
      </w:r>
      <w:r w:rsidR="00D97986">
        <w:rPr>
          <w:rFonts w:eastAsia="Calibri"/>
          <w:b/>
          <w:szCs w:val="24"/>
          <w:lang w:eastAsia="en-US"/>
        </w:rPr>
        <w:t>po wykonaniu zadania uzyska decyzje</w:t>
      </w:r>
      <w:r w:rsidR="00D97986" w:rsidRPr="00D97986">
        <w:rPr>
          <w:rFonts w:eastAsia="Calibri"/>
          <w:b/>
          <w:szCs w:val="24"/>
          <w:lang w:eastAsia="en-US"/>
        </w:rPr>
        <w:t xml:space="preserve"> o dalszej eksploatacji kotłów po modernizacji.</w:t>
      </w:r>
    </w:p>
    <w:p w:rsidR="00D97986" w:rsidRDefault="008F6C1A" w:rsidP="006D2A0D">
      <w:pPr>
        <w:spacing w:line="360" w:lineRule="auto"/>
        <w:ind w:left="426"/>
        <w:jc w:val="both"/>
        <w:rPr>
          <w:rFonts w:eastAsia="Calibri"/>
          <w:szCs w:val="24"/>
          <w:lang w:eastAsia="en-US"/>
        </w:rPr>
      </w:pPr>
      <w:r>
        <w:rPr>
          <w:rFonts w:eastAsia="Calibri"/>
          <w:szCs w:val="24"/>
          <w:lang w:eastAsia="en-US"/>
        </w:rPr>
        <w:t>Dokumentacja dotycząca zmian wydajności poszczególnych kotłów, która będzie załącznikiem do istniejących dokumentacji techniczno-ruchowych zostanie opracowana przez Biuro Techniki Kotłowej Sp</w:t>
      </w:r>
      <w:r w:rsidR="00106508">
        <w:rPr>
          <w:rFonts w:eastAsia="Calibri"/>
          <w:szCs w:val="24"/>
          <w:lang w:eastAsia="en-US"/>
        </w:rPr>
        <w:t>ółka z o.o. - Tarnowskie Góry. Dokumentacja ta zawierać będzie między innymi dane techniczne zmodernizowanych kotłów, charakterystyki pracy, wykresy, obliczenia zaworów bezpieczeństwa.</w:t>
      </w:r>
    </w:p>
    <w:p w:rsidR="00AF7FC9" w:rsidRDefault="00AF7FC9" w:rsidP="006D2A0D">
      <w:pPr>
        <w:spacing w:line="360" w:lineRule="auto"/>
        <w:ind w:left="426"/>
        <w:jc w:val="both"/>
        <w:rPr>
          <w:rFonts w:eastAsia="Calibri"/>
          <w:szCs w:val="24"/>
          <w:lang w:eastAsia="en-US"/>
        </w:rPr>
      </w:pPr>
    </w:p>
    <w:p w:rsidR="001F48F3" w:rsidRDefault="001F48F3" w:rsidP="006D2A0D">
      <w:pPr>
        <w:spacing w:line="360" w:lineRule="auto"/>
      </w:pPr>
    </w:p>
    <w:sectPr w:rsidR="001F4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FF"/>
    <w:rsid w:val="000D17AA"/>
    <w:rsid w:val="00106508"/>
    <w:rsid w:val="00135DCF"/>
    <w:rsid w:val="001F48F3"/>
    <w:rsid w:val="00245D65"/>
    <w:rsid w:val="00436AC0"/>
    <w:rsid w:val="006377DF"/>
    <w:rsid w:val="006D2A0D"/>
    <w:rsid w:val="007E7DFF"/>
    <w:rsid w:val="008F6C1A"/>
    <w:rsid w:val="00913727"/>
    <w:rsid w:val="00AF7FC9"/>
    <w:rsid w:val="00D05688"/>
    <w:rsid w:val="00D56674"/>
    <w:rsid w:val="00D97986"/>
    <w:rsid w:val="00EB1CF8"/>
    <w:rsid w:val="00F172A5"/>
    <w:rsid w:val="00F82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4560"/>
  <w15:chartTrackingRefBased/>
  <w15:docId w15:val="{761F5BF9-8CAF-48A3-B9B7-C0E01A2E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7DF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D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2265</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Sterma</dc:creator>
  <cp:keywords/>
  <dc:description/>
  <cp:lastModifiedBy>Michał Rustecki</cp:lastModifiedBy>
  <cp:revision>2</cp:revision>
  <dcterms:created xsi:type="dcterms:W3CDTF">2019-06-27T06:12:00Z</dcterms:created>
  <dcterms:modified xsi:type="dcterms:W3CDTF">2019-06-27T06:12:00Z</dcterms:modified>
</cp:coreProperties>
</file>