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B33F8A" w:rsidRPr="00DE2FC0" w14:paraId="6FE50B61" w14:textId="77777777" w:rsidTr="00D81027">
        <w:tc>
          <w:tcPr>
            <w:tcW w:w="9062" w:type="dxa"/>
            <w:shd w:val="clear" w:color="auto" w:fill="F2F2F2"/>
            <w:tcMar>
              <w:left w:w="108" w:type="dxa"/>
            </w:tcMar>
          </w:tcPr>
          <w:p w14:paraId="1673B4A0" w14:textId="08023656" w:rsidR="00B33F8A" w:rsidRPr="00FD2644" w:rsidRDefault="00B33F8A" w:rsidP="00D81027">
            <w:pPr>
              <w:pageBreakBefore/>
              <w:jc w:val="center"/>
              <w:rPr>
                <w:rFonts w:ascii="Calibri" w:hAnsi="Calibri"/>
                <w:b/>
                <w:szCs w:val="22"/>
              </w:rPr>
            </w:pPr>
            <w:r w:rsidRPr="00DE2FC0">
              <w:rPr>
                <w:rFonts w:ascii="Calibri" w:hAnsi="Calibri"/>
              </w:rPr>
              <w:br w:type="page"/>
            </w:r>
            <w:r w:rsidRPr="00DE2FC0">
              <w:rPr>
                <w:rFonts w:ascii="Calibri" w:hAnsi="Calibri"/>
                <w:b/>
                <w:szCs w:val="22"/>
              </w:rPr>
              <w:t xml:space="preserve"> </w:t>
            </w:r>
            <w:r>
              <w:rPr>
                <w:rFonts w:asciiTheme="minorHAnsi" w:eastAsia="Arial Unicode MS" w:hAnsiTheme="minorHAnsi" w:cstheme="minorHAnsi"/>
                <w:b/>
                <w:bCs/>
              </w:rPr>
              <w:t>Opis przedmiotu zamówienia</w:t>
            </w:r>
            <w:r>
              <w:rPr>
                <w:rFonts w:ascii="Calibri" w:hAnsi="Calibri"/>
                <w:b/>
                <w:szCs w:val="22"/>
              </w:rPr>
              <w:t xml:space="preserve"> - </w:t>
            </w:r>
            <w:r w:rsidRPr="00DE2FC0">
              <w:rPr>
                <w:rFonts w:ascii="Calibri" w:hAnsi="Calibri"/>
                <w:b/>
                <w:szCs w:val="22"/>
              </w:rPr>
              <w:t xml:space="preserve">Załącznik nr </w:t>
            </w:r>
            <w:r>
              <w:rPr>
                <w:rFonts w:ascii="Calibri" w:hAnsi="Calibri"/>
                <w:b/>
                <w:szCs w:val="22"/>
              </w:rPr>
              <w:t>2</w:t>
            </w:r>
            <w:r w:rsidRPr="00DE2FC0">
              <w:rPr>
                <w:rFonts w:ascii="Calibri" w:hAnsi="Calibri"/>
                <w:b/>
                <w:szCs w:val="22"/>
              </w:rPr>
              <w:t xml:space="preserve"> do SWZ</w:t>
            </w:r>
          </w:p>
        </w:tc>
      </w:tr>
    </w:tbl>
    <w:p w14:paraId="40F27D5A" w14:textId="77777777" w:rsidR="00B33F8A" w:rsidRDefault="00B33F8A" w:rsidP="00B33F8A">
      <w:pPr>
        <w:tabs>
          <w:tab w:val="left" w:pos="4111"/>
        </w:tabs>
        <w:spacing w:before="120"/>
        <w:ind w:right="4961"/>
        <w:rPr>
          <w:rFonts w:ascii="Calibri" w:hAnsi="Calibri"/>
          <w:b/>
          <w:sz w:val="22"/>
          <w:szCs w:val="22"/>
        </w:rPr>
      </w:pPr>
    </w:p>
    <w:p w14:paraId="5307E8C9" w14:textId="495EF652" w:rsidR="00887846" w:rsidRPr="00887846" w:rsidRDefault="00887846" w:rsidP="00887846">
      <w:pPr>
        <w:suppressAutoHyphens w:val="0"/>
        <w:spacing w:before="240" w:line="360" w:lineRule="auto"/>
        <w:jc w:val="both"/>
        <w:rPr>
          <w:rFonts w:ascii="Arial" w:hAnsi="Arial" w:cs="Arial"/>
          <w:sz w:val="20"/>
          <w:szCs w:val="20"/>
        </w:rPr>
      </w:pPr>
      <w:r w:rsidRPr="00887846">
        <w:rPr>
          <w:rFonts w:ascii="Arial" w:hAnsi="Arial" w:cs="Arial"/>
          <w:b/>
          <w:bCs/>
          <w:iCs/>
          <w:sz w:val="20"/>
          <w:szCs w:val="20"/>
        </w:rPr>
        <w:t>Świadczenie usług pocztowych na potrzeby Urzędu Miejskiego w Skarszewach</w:t>
      </w:r>
      <w:r w:rsidRPr="00887846">
        <w:rPr>
          <w:rFonts w:ascii="Arial" w:hAnsi="Arial" w:cs="Arial"/>
          <w:iCs/>
          <w:sz w:val="20"/>
          <w:szCs w:val="20"/>
        </w:rPr>
        <w:t xml:space="preserve">. </w:t>
      </w:r>
    </w:p>
    <w:p w14:paraId="7BE4DBBF" w14:textId="59241CB6" w:rsidR="00B33F8A" w:rsidRDefault="00B33F8A" w:rsidP="00B33F8A">
      <w:pPr>
        <w:spacing w:line="360" w:lineRule="auto"/>
        <w:ind w:left="57" w:right="57"/>
        <w:rPr>
          <w:rFonts w:ascii="Arial" w:hAnsi="Arial" w:cs="Arial"/>
          <w:b/>
          <w:bCs/>
          <w:color w:val="000000"/>
          <w:sz w:val="20"/>
          <w:szCs w:val="20"/>
        </w:rPr>
      </w:pPr>
    </w:p>
    <w:p w14:paraId="50109E55" w14:textId="77777777" w:rsidR="00887846" w:rsidRPr="00887846" w:rsidRDefault="00887846" w:rsidP="00887846">
      <w:pPr>
        <w:numPr>
          <w:ilvl w:val="0"/>
          <w:numId w:val="2"/>
        </w:numPr>
        <w:suppressAutoHyphens w:val="0"/>
        <w:spacing w:line="276" w:lineRule="auto"/>
        <w:jc w:val="both"/>
        <w:rPr>
          <w:rFonts w:ascii="Arial" w:hAnsi="Arial" w:cs="Arial"/>
          <w:sz w:val="20"/>
          <w:szCs w:val="20"/>
        </w:rPr>
      </w:pPr>
      <w:r w:rsidRPr="00887846">
        <w:rPr>
          <w:rFonts w:ascii="Arial" w:hAnsi="Arial" w:cs="Arial"/>
          <w:sz w:val="20"/>
          <w:szCs w:val="20"/>
        </w:rPr>
        <w:t xml:space="preserve">Przedmiotem zamówienia jest świadczenie usług pocztowych w obrocie krajowym i zagranicznym </w:t>
      </w:r>
      <w:r w:rsidRPr="00887846">
        <w:rPr>
          <w:rFonts w:ascii="Arial" w:hAnsi="Arial" w:cs="Arial"/>
          <w:sz w:val="20"/>
          <w:szCs w:val="20"/>
        </w:rPr>
        <w:br/>
        <w:t xml:space="preserve">w zakresie przyjmowania, przemieszczania i doręczania przesyłek pocztowych, paczek oraz ich ewentualnych zwrotów, zwane dalej usługą, na rzecz Urzędu Miejskiego z siedzibą w Skarszewach. </w:t>
      </w:r>
    </w:p>
    <w:p w14:paraId="2896F5D4" w14:textId="77777777" w:rsidR="00887846" w:rsidRPr="00887846" w:rsidRDefault="00887846" w:rsidP="00887846">
      <w:pPr>
        <w:spacing w:line="276" w:lineRule="auto"/>
        <w:ind w:firstLine="360"/>
        <w:jc w:val="both"/>
        <w:rPr>
          <w:rFonts w:ascii="Arial" w:hAnsi="Arial" w:cs="Arial"/>
          <w:sz w:val="20"/>
          <w:szCs w:val="20"/>
        </w:rPr>
      </w:pPr>
      <w:r w:rsidRPr="00887846">
        <w:rPr>
          <w:rFonts w:ascii="Arial" w:hAnsi="Arial" w:cs="Arial"/>
          <w:sz w:val="20"/>
          <w:szCs w:val="20"/>
        </w:rPr>
        <w:t>Usługi te powinny być świadczone z uwzględnieniem następujących przepisów prawa:</w:t>
      </w:r>
    </w:p>
    <w:p w14:paraId="42617C6A"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ustawa z dnia 23 listopada 2012 r. – Prawo Pocztowe </w:t>
      </w:r>
      <w:r w:rsidRPr="00887846">
        <w:rPr>
          <w:rFonts w:ascii="Arial" w:hAnsi="Arial" w:cs="Arial"/>
          <w:i/>
          <w:sz w:val="20"/>
          <w:szCs w:val="20"/>
        </w:rPr>
        <w:t>(t.j. Dz.U. z 2020 r. , poz. 1041 ze  zm.)</w:t>
      </w:r>
      <w:r w:rsidRPr="00887846">
        <w:rPr>
          <w:rFonts w:ascii="Arial" w:hAnsi="Arial" w:cs="Arial"/>
          <w:sz w:val="20"/>
          <w:szCs w:val="20"/>
        </w:rPr>
        <w:t>,</w:t>
      </w:r>
    </w:p>
    <w:p w14:paraId="30EEC367"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Rozporządzenie Ministra Administracji i Cyfryzacji z dnia 26 listopada 2013 r. w sprawie reklamacji usługi pocztowej </w:t>
      </w:r>
      <w:r w:rsidRPr="00887846">
        <w:rPr>
          <w:rFonts w:ascii="Arial" w:hAnsi="Arial" w:cs="Arial"/>
          <w:i/>
          <w:sz w:val="20"/>
          <w:szCs w:val="20"/>
        </w:rPr>
        <w:t>(t.j. Dz.U. z 2019 r.  poz. 474),</w:t>
      </w:r>
    </w:p>
    <w:p w14:paraId="52CB188A"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rozporządzenie Ministra Administracji i Cyfryzacji z dnia 29 kwietnia 2013 r. w sprawie warunków wykonywania usług powszechnych przez operatora wyznaczonego </w:t>
      </w:r>
      <w:r w:rsidRPr="00887846">
        <w:rPr>
          <w:rFonts w:ascii="Arial" w:hAnsi="Arial" w:cs="Arial"/>
          <w:i/>
          <w:sz w:val="20"/>
          <w:szCs w:val="20"/>
        </w:rPr>
        <w:t>(t.j. Dz.U. z 2020 r. , poz. 1026)</w:t>
      </w:r>
      <w:r w:rsidRPr="00887846">
        <w:rPr>
          <w:rFonts w:ascii="Arial" w:hAnsi="Arial" w:cs="Arial"/>
          <w:sz w:val="20"/>
          <w:szCs w:val="20"/>
        </w:rPr>
        <w:t>,</w:t>
      </w:r>
    </w:p>
    <w:p w14:paraId="547942F8"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ustawa z dnia 29 sierpnia 1997 r. Ordynacja podatkowa </w:t>
      </w:r>
      <w:r w:rsidRPr="00887846">
        <w:rPr>
          <w:rFonts w:ascii="Arial" w:hAnsi="Arial" w:cs="Arial"/>
          <w:i/>
          <w:sz w:val="20"/>
          <w:szCs w:val="20"/>
        </w:rPr>
        <w:t>(t.j. Dz.U. z 2021 r. , poz. 1540, ze zm.)</w:t>
      </w:r>
      <w:r w:rsidRPr="00887846">
        <w:rPr>
          <w:rFonts w:ascii="Arial" w:hAnsi="Arial" w:cs="Arial"/>
          <w:sz w:val="20"/>
          <w:szCs w:val="20"/>
        </w:rPr>
        <w:t>,</w:t>
      </w:r>
    </w:p>
    <w:p w14:paraId="4B0AFFF5"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ustawa z dnia 14 czerwca 1960 r. Kodeks postępowania administracyjnego </w:t>
      </w:r>
      <w:r w:rsidRPr="00887846">
        <w:rPr>
          <w:rFonts w:ascii="Arial" w:hAnsi="Arial" w:cs="Arial"/>
          <w:i/>
          <w:sz w:val="20"/>
          <w:szCs w:val="20"/>
        </w:rPr>
        <w:t>(t.j. Dz.U. z 2021 r., poz. 735, ze zm.)</w:t>
      </w:r>
      <w:r w:rsidRPr="00887846">
        <w:rPr>
          <w:rFonts w:ascii="Arial" w:hAnsi="Arial" w:cs="Arial"/>
          <w:sz w:val="20"/>
          <w:szCs w:val="20"/>
        </w:rPr>
        <w:t>,</w:t>
      </w:r>
    </w:p>
    <w:p w14:paraId="000A2802"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regulamin Poczty Listowej, Światowy Związek Pocztowy sporządzony w Bernie dnia 28 stycznia 2005 r. </w:t>
      </w:r>
      <w:r w:rsidRPr="00887846">
        <w:rPr>
          <w:rFonts w:ascii="Arial" w:hAnsi="Arial" w:cs="Arial"/>
          <w:i/>
          <w:sz w:val="20"/>
          <w:szCs w:val="20"/>
        </w:rPr>
        <w:t>(Dz.U. z 2007 r. nr 108, poz. 744),</w:t>
      </w:r>
    </w:p>
    <w:p w14:paraId="20AD8B94"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ustawa z dnia 18 listopada 2020 r. o doręczeniach elektronicznych</w:t>
      </w:r>
      <w:r w:rsidRPr="00887846">
        <w:rPr>
          <w:rFonts w:ascii="Arial" w:hAnsi="Arial" w:cs="Arial"/>
          <w:i/>
          <w:sz w:val="20"/>
          <w:szCs w:val="20"/>
        </w:rPr>
        <w:t xml:space="preserve"> (Dz. U. 2020 poz. 2320 ze zm.),</w:t>
      </w:r>
    </w:p>
    <w:p w14:paraId="3CD05EBF" w14:textId="77777777" w:rsidR="00887846" w:rsidRPr="00887846" w:rsidRDefault="00887846" w:rsidP="00887846">
      <w:pPr>
        <w:numPr>
          <w:ilvl w:val="0"/>
          <w:numId w:val="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regulamin świadczenia usług pocztowych obowiązujący w trakcie trwania umowy. Wykonawcę </w:t>
      </w:r>
      <w:r w:rsidRPr="00887846">
        <w:rPr>
          <w:rFonts w:ascii="Arial" w:hAnsi="Arial" w:cs="Arial"/>
          <w:sz w:val="20"/>
          <w:szCs w:val="20"/>
        </w:rPr>
        <w:br/>
        <w:t xml:space="preserve">w całości obowiązują wszystkie wymienione akty prawne, które w sposób kompletny i szczegółowy regulują w obecnym stanie prawnym świadczenie usług pocztowych, objętych przedmiotem niniejszego postępowania. </w:t>
      </w:r>
    </w:p>
    <w:p w14:paraId="20CF8C6C" w14:textId="77777777" w:rsidR="00887846" w:rsidRPr="00887846" w:rsidRDefault="00887846" w:rsidP="00887846">
      <w:pPr>
        <w:numPr>
          <w:ilvl w:val="0"/>
          <w:numId w:val="4"/>
        </w:numPr>
        <w:suppressAutoHyphens w:val="0"/>
        <w:spacing w:line="276" w:lineRule="auto"/>
        <w:jc w:val="both"/>
        <w:rPr>
          <w:rFonts w:ascii="Arial" w:hAnsi="Arial" w:cs="Arial"/>
          <w:sz w:val="20"/>
          <w:szCs w:val="20"/>
        </w:rPr>
      </w:pPr>
      <w:r w:rsidRPr="00887846">
        <w:rPr>
          <w:rFonts w:ascii="Arial" w:hAnsi="Arial" w:cs="Arial"/>
          <w:sz w:val="20"/>
          <w:szCs w:val="20"/>
        </w:rPr>
        <w:t>Do zakresu przedmiotu zamówienia należy zaliczyć:</w:t>
      </w:r>
    </w:p>
    <w:p w14:paraId="554AC634" w14:textId="77777777" w:rsidR="00887846" w:rsidRPr="00887846" w:rsidRDefault="00887846" w:rsidP="00887846">
      <w:pPr>
        <w:numPr>
          <w:ilvl w:val="0"/>
          <w:numId w:val="5"/>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usługi pocztowe w obrocie krajowym i zagranicznym dla przesyłek listowych o wadze do 2000 g oraz paczek pocztowych do 10 kg w zakresie ich przyjmowania, przemieszczania i doręczania.</w:t>
      </w:r>
    </w:p>
    <w:p w14:paraId="30A290DC" w14:textId="77777777" w:rsidR="00887846" w:rsidRPr="00887846" w:rsidRDefault="00887846" w:rsidP="00887846">
      <w:pPr>
        <w:numPr>
          <w:ilvl w:val="0"/>
          <w:numId w:val="5"/>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przekazywanie zwrotów przesyłek listowych niedoręczonych, po wyczerpaniu wszystkich możliwości ich doręczenia lub wydania odbiorcy oraz zwrot potwierdzeń odbioru do siedziby Zamawiającego.</w:t>
      </w:r>
    </w:p>
    <w:p w14:paraId="679C04D6"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Przez przesyłki pocztowe będące przedmiotem zamówienia rozumie się:</w:t>
      </w:r>
    </w:p>
    <w:p w14:paraId="6772796E"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zwykłe – przesyłki nierejestrowane nie będące przesyłkami najszybszej kategorii w obrocie krajowym,</w:t>
      </w:r>
    </w:p>
    <w:p w14:paraId="2DA95C2F"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zwykłe priorytetowe – przesyłki nierejestrowane najszybszej kategorii w obrocie krajowym </w:t>
      </w:r>
      <w:r w:rsidRPr="00887846">
        <w:rPr>
          <w:rFonts w:ascii="Arial" w:hAnsi="Arial" w:cs="Arial"/>
          <w:sz w:val="20"/>
          <w:szCs w:val="20"/>
        </w:rPr>
        <w:br/>
        <w:t>i zagranicznym,</w:t>
      </w:r>
    </w:p>
    <w:p w14:paraId="55424E24"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polecone – przesyłki rejestrowane nie będące przesyłkami najszybszej kategorii w obrocie krajowym,</w:t>
      </w:r>
    </w:p>
    <w:p w14:paraId="6BBC9776"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polecone – za zwrotnym potwierdzeniem odbioru (ZPO) – przesyłki  nie będące przesyłkami najszybszej kategorii w obrocie krajowym,</w:t>
      </w:r>
    </w:p>
    <w:p w14:paraId="3D0B88A5"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polecone priorytetowe – przesyłki  rejestrowane najszybszej kategorii w obrocie krajowym </w:t>
      </w:r>
      <w:r w:rsidRPr="00887846">
        <w:rPr>
          <w:rFonts w:ascii="Arial" w:hAnsi="Arial" w:cs="Arial"/>
          <w:sz w:val="20"/>
          <w:szCs w:val="20"/>
        </w:rPr>
        <w:br/>
        <w:t>i zagranicznym,</w:t>
      </w:r>
    </w:p>
    <w:p w14:paraId="7E8608AA"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 xml:space="preserve">polecone priorytetowe za zwrotnym potwierdzeniem odbioru (ZPO) – przesyłki najszybszej kategorii przyjęte za potwierdzeniem nadania i doręczone za pokwitowaniem odbioru w obrocie krajowym </w:t>
      </w:r>
      <w:r w:rsidRPr="00887846">
        <w:rPr>
          <w:rFonts w:ascii="Arial" w:hAnsi="Arial" w:cs="Arial"/>
          <w:sz w:val="20"/>
          <w:szCs w:val="20"/>
        </w:rPr>
        <w:br/>
        <w:t>i zagranicznym,</w:t>
      </w:r>
    </w:p>
    <w:p w14:paraId="77076315"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z zadeklarowaną wartością – przesyłka  rejestrowana, za której utratę ubytek zawartości lub uszkodzenie operator ponosi odpowiedzialność do wysokości wartości przesyłki podanej przez nadawcę.</w:t>
      </w:r>
    </w:p>
    <w:p w14:paraId="71710A3F" w14:textId="77777777" w:rsidR="00887846" w:rsidRPr="00887846" w:rsidRDefault="00887846" w:rsidP="00887846">
      <w:pPr>
        <w:numPr>
          <w:ilvl w:val="0"/>
          <w:numId w:val="7"/>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lastRenderedPageBreak/>
        <w:t>zamawiający dopuszcza możliwości wysyłania korespondencji listowej z elektronicznym potwierdzeniem odbioru.</w:t>
      </w:r>
    </w:p>
    <w:p w14:paraId="18A30934"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Przez paczki pocztowe, będące przedmiotem zamówienia rozumie się paczki pocztowe:</w:t>
      </w:r>
    </w:p>
    <w:p w14:paraId="41A4BC2C" w14:textId="77777777" w:rsidR="00887846" w:rsidRPr="00887846" w:rsidRDefault="00887846" w:rsidP="00887846">
      <w:pPr>
        <w:numPr>
          <w:ilvl w:val="1"/>
          <w:numId w:val="8"/>
        </w:numPr>
        <w:suppressAutoHyphens w:val="0"/>
        <w:spacing w:line="276" w:lineRule="auto"/>
        <w:jc w:val="both"/>
        <w:rPr>
          <w:rFonts w:ascii="Arial" w:hAnsi="Arial" w:cs="Arial"/>
          <w:sz w:val="20"/>
          <w:szCs w:val="20"/>
        </w:rPr>
      </w:pPr>
      <w:r w:rsidRPr="00887846">
        <w:rPr>
          <w:rFonts w:ascii="Arial" w:hAnsi="Arial" w:cs="Arial"/>
          <w:sz w:val="20"/>
          <w:szCs w:val="20"/>
        </w:rPr>
        <w:t>zwykłe – paczki rejestrowane nie będące paczkami najszybszej kategorii,</w:t>
      </w:r>
    </w:p>
    <w:p w14:paraId="67D3CB3C" w14:textId="77777777" w:rsidR="00887846" w:rsidRPr="00887846" w:rsidRDefault="00887846" w:rsidP="00887846">
      <w:pPr>
        <w:numPr>
          <w:ilvl w:val="1"/>
          <w:numId w:val="8"/>
        </w:numPr>
        <w:suppressAutoHyphens w:val="0"/>
        <w:spacing w:line="276" w:lineRule="auto"/>
        <w:jc w:val="both"/>
        <w:rPr>
          <w:rFonts w:ascii="Arial" w:hAnsi="Arial" w:cs="Arial"/>
          <w:sz w:val="20"/>
          <w:szCs w:val="20"/>
        </w:rPr>
      </w:pPr>
      <w:r w:rsidRPr="00887846">
        <w:rPr>
          <w:rFonts w:ascii="Arial" w:hAnsi="Arial" w:cs="Arial"/>
          <w:sz w:val="20"/>
          <w:szCs w:val="20"/>
        </w:rPr>
        <w:t>priorytetowe – paczki rejestrowane najszybszej kategorii,</w:t>
      </w:r>
    </w:p>
    <w:p w14:paraId="4328A22D" w14:textId="77777777" w:rsidR="00887846" w:rsidRPr="00887846" w:rsidRDefault="00887846" w:rsidP="00887846">
      <w:pPr>
        <w:numPr>
          <w:ilvl w:val="1"/>
          <w:numId w:val="8"/>
        </w:numPr>
        <w:suppressAutoHyphens w:val="0"/>
        <w:spacing w:line="276" w:lineRule="auto"/>
        <w:jc w:val="both"/>
        <w:rPr>
          <w:rFonts w:ascii="Arial" w:hAnsi="Arial" w:cs="Arial"/>
          <w:sz w:val="20"/>
          <w:szCs w:val="20"/>
        </w:rPr>
      </w:pPr>
      <w:r w:rsidRPr="00887846">
        <w:rPr>
          <w:rFonts w:ascii="Arial" w:hAnsi="Arial" w:cs="Arial"/>
          <w:sz w:val="20"/>
          <w:szCs w:val="20"/>
        </w:rPr>
        <w:t xml:space="preserve">z zadeklarowaną wartością – przesyłki  rejestrowane nie będące  przesyłkami najszybszej kategorii </w:t>
      </w:r>
      <w:r w:rsidRPr="00887846">
        <w:rPr>
          <w:rFonts w:ascii="Arial" w:hAnsi="Arial" w:cs="Arial"/>
          <w:sz w:val="20"/>
          <w:szCs w:val="20"/>
        </w:rPr>
        <w:br/>
        <w:t>z zadeklarowaną   wartością,</w:t>
      </w:r>
    </w:p>
    <w:p w14:paraId="08E268F9" w14:textId="77777777" w:rsidR="00887846" w:rsidRPr="00887846" w:rsidRDefault="00887846" w:rsidP="00887846">
      <w:pPr>
        <w:numPr>
          <w:ilvl w:val="1"/>
          <w:numId w:val="8"/>
        </w:numPr>
        <w:suppressAutoHyphens w:val="0"/>
        <w:spacing w:line="276" w:lineRule="auto"/>
        <w:jc w:val="both"/>
        <w:rPr>
          <w:rFonts w:ascii="Arial" w:hAnsi="Arial" w:cs="Arial"/>
          <w:sz w:val="20"/>
          <w:szCs w:val="20"/>
        </w:rPr>
      </w:pPr>
      <w:r w:rsidRPr="00887846">
        <w:rPr>
          <w:rFonts w:ascii="Arial" w:hAnsi="Arial" w:cs="Arial"/>
          <w:sz w:val="20"/>
          <w:szCs w:val="20"/>
        </w:rPr>
        <w:t>ze zwrotnym poświadczeniem odbioru,</w:t>
      </w:r>
    </w:p>
    <w:p w14:paraId="70E1DD04"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Przesyłki  nadawane przez Zamawiającego dostarczane będą przez Wykonawcę do każdego miejsca w kraju i za granicą  (z uwzględnieniem międzynarodowych przepisów pocztowych), na podany adres bądź wskazany adres skrytki pocztowej. Ze względu na znaczenie przesyłek nadawanych przez Zamawiającego oraz rolę jaką pełni, Zamawiający wymaga, aby potwierdzenie nadania przesyłki rejestrowanej miało moc dokumentu urzędowego.</w:t>
      </w:r>
    </w:p>
    <w:p w14:paraId="23E8C403"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Wykonawca będzie doręczał do Zamawiającego potwierdzenia odbioru przesyłki przez adresata niezwłocznie po dokonaniu doręczenia przesyłki. Doręczone potwierdzenie odbioru powinno zawierać czytelną datę i czytelny podpis odbiorcy oraz datę i podpis osoby doręczającej. 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terminie Wykonawca sporządza powtórne zawiadomienie o możliwości jej odbioru w terminie kolejnych 7 dni. Po upływie terminu odbioru przesyłka niezwłocznie zwracana jest Zamawiającemu wraz z podaniem przyczyny nie odebrania przez adresata (zgodnie z art. 150 Ordynacji podatkowej bądź art. 44 Kodeksu postępowania administracyjnego).</w:t>
      </w:r>
    </w:p>
    <w:p w14:paraId="33B46DC0"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 xml:space="preserve">Zamawiający będzie umieszczał na przesyłkach w sposób trwały i czytelny informacje jednoznacznie identyfikujące adresata, formę zapłaty, określając jednocześnie rodzaj przesyłki (polecona, polecona </w:t>
      </w:r>
      <w:r w:rsidRPr="00887846">
        <w:rPr>
          <w:rFonts w:ascii="Arial" w:hAnsi="Arial" w:cs="Arial"/>
          <w:sz w:val="20"/>
          <w:szCs w:val="20"/>
        </w:rPr>
        <w:br/>
        <w:t>z potwierdzeniem odbioru).</w:t>
      </w:r>
    </w:p>
    <w:p w14:paraId="2BE31D3E"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Zamawiający zobowiązuje się do prawidłowego adresowania przesyłek w sposób czytelny i zgodny ze standardami określonymi przez wykonawcę.</w:t>
      </w:r>
    </w:p>
    <w:p w14:paraId="42E599BB"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 xml:space="preserve">Zamawiający będzie korzystał wyłącznie ze swojego opakowania przesyłek, nie dopuszcza się stosowania opakowań wykonawcy. Zamawiający nie dopuszcza przepakowywania nadawanych przesyłek, ani zmian </w:t>
      </w:r>
      <w:r w:rsidRPr="00887846">
        <w:rPr>
          <w:rFonts w:ascii="Arial" w:hAnsi="Arial" w:cs="Arial"/>
          <w:sz w:val="20"/>
          <w:szCs w:val="20"/>
        </w:rPr>
        <w:br/>
        <w:t xml:space="preserve">w zakresie nadawcy przesyłek. Zamawiający nie przewiduje możliwości dołączania przez zamawiającego </w:t>
      </w:r>
      <w:r w:rsidRPr="00887846">
        <w:rPr>
          <w:rFonts w:ascii="Arial" w:hAnsi="Arial" w:cs="Arial"/>
          <w:sz w:val="20"/>
          <w:szCs w:val="20"/>
        </w:rPr>
        <w:br/>
        <w:t>i wykonawcę, do opakowanych przesyłek przekazanych przez Zamawiającego, jakichkolwiek przedmiotów wpływających na wagę przesyłki oraz cenę usługi.</w:t>
      </w:r>
    </w:p>
    <w:p w14:paraId="7D477C56"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Zamawiający będzie nadawał przesyłki w stanie uporządkowanym. Przesyłki rejestrowane (w tym paczki) nadawane będą na podstawie rejestrów pocztowych wygenerowanych przez program pocztowy. Układ oraz zakres informacji rejestrów pocztowych zgodny jest ze wzorem pocztowych książek nadawczych. Ze względu na znaczenie przesyłek nadawczych przez Zamawiającego oraz rolę, jaką pełni Zamawiający, Zamawiający wymaga, aby potwierdzenie nadania przesyłki rejestrowanej miało moc dokumentu urzędowego.</w:t>
      </w:r>
    </w:p>
    <w:p w14:paraId="3A79F48A"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Przesyłki rejestrowane nadawane będą na podstawie zestawienia ilościowo-wartościowego nadanych przesyłek.</w:t>
      </w:r>
    </w:p>
    <w:p w14:paraId="73A7315D"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 xml:space="preserve">Rejestry pocztowe sporządzane będą w dwóch egzemplarzach, po jednym dla Wykonawcy </w:t>
      </w:r>
      <w:r w:rsidRPr="00887846">
        <w:rPr>
          <w:rFonts w:ascii="Arial" w:hAnsi="Arial" w:cs="Arial"/>
          <w:sz w:val="20"/>
          <w:szCs w:val="20"/>
        </w:rPr>
        <w:br/>
        <w:t>i Zamawiającego.</w:t>
      </w:r>
    </w:p>
    <w:p w14:paraId="701DB7D1"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 xml:space="preserve">Zamawiający jest odpowiedzialny za nadawanie przesyłek listowych i ewentualnie paczek w stanie umożliwiającym Wykonawcy doręczenie bez ubytku i uszkodzenia do miejsca zgodnie z adresem przeznaczenia. Zamawiający będzie nadawał przesyłki w stanie uporządkowanym według kategorii rodzajowej i wagowej. Opakowanie przesyłek listowych stanowi zaklejona koperta Zamawiającego, opakowanie paczki stanowi sztywne pudełko lub szary papier Zamawiającego. Zamawiający </w:t>
      </w:r>
      <w:r w:rsidRPr="00887846">
        <w:rPr>
          <w:rFonts w:ascii="Arial" w:hAnsi="Arial" w:cs="Arial"/>
          <w:sz w:val="20"/>
          <w:szCs w:val="20"/>
        </w:rPr>
        <w:lastRenderedPageBreak/>
        <w:t xml:space="preserve">umieszcza </w:t>
      </w:r>
      <w:r w:rsidRPr="00887846">
        <w:rPr>
          <w:rFonts w:ascii="Arial" w:hAnsi="Arial" w:cs="Arial"/>
          <w:sz w:val="20"/>
          <w:szCs w:val="20"/>
        </w:rPr>
        <w:br/>
        <w:t>w sposób trwały i czytelny informacje jednoznacznie identyfikujące adresata, jednocześnie określając rodzaj przesyłki oraz pełną nazwę i adres zwrotny nadawcy.</w:t>
      </w:r>
    </w:p>
    <w:p w14:paraId="3F21B0A8"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Wszelkie oznaczenia przesyłek rejestrowanych priorytetowych muszą być zapewnione przez Wykonawcę.</w:t>
      </w:r>
    </w:p>
    <w:p w14:paraId="0A82EDE2"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 xml:space="preserve">Wykonawca powinien posiadać siedzibę w miejscowości, w której mieści się Zamawiający. Siedziba wykonawcy powinna być czynna we wszystkie dni robocze, co najmniej 5 dni w tygodniu. Jeżeli </w:t>
      </w:r>
      <w:r w:rsidRPr="00887846">
        <w:rPr>
          <w:rFonts w:ascii="Arial" w:hAnsi="Arial" w:cs="Arial"/>
          <w:sz w:val="20"/>
          <w:szCs w:val="20"/>
        </w:rPr>
        <w:br/>
        <w:t>w tygodniu przypada dzień ustawowo wolny od pracy, liczba ta może być odpowiednio niższa.</w:t>
      </w:r>
    </w:p>
    <w:p w14:paraId="5BECAA34" w14:textId="77777777" w:rsidR="00887846" w:rsidRPr="00887846" w:rsidRDefault="00887846" w:rsidP="00887846">
      <w:pPr>
        <w:numPr>
          <w:ilvl w:val="0"/>
          <w:numId w:val="6"/>
        </w:numPr>
        <w:suppressAutoHyphens w:val="0"/>
        <w:spacing w:line="276" w:lineRule="auto"/>
        <w:jc w:val="both"/>
        <w:rPr>
          <w:rFonts w:ascii="Arial" w:hAnsi="Arial" w:cs="Arial"/>
          <w:sz w:val="20"/>
          <w:szCs w:val="20"/>
        </w:rPr>
      </w:pPr>
      <w:r w:rsidRPr="00887846">
        <w:rPr>
          <w:rFonts w:ascii="Arial" w:hAnsi="Arial" w:cs="Arial"/>
          <w:sz w:val="20"/>
          <w:szCs w:val="20"/>
        </w:rPr>
        <w:t>Wykonawca zobowiązany jest doręczyć przesyłki listowe krajowe przyjęte do pomieszczenia i doręczenia:</w:t>
      </w:r>
    </w:p>
    <w:p w14:paraId="214A6216" w14:textId="77777777" w:rsidR="00887846" w:rsidRPr="00887846" w:rsidRDefault="00887846" w:rsidP="00887846">
      <w:pPr>
        <w:numPr>
          <w:ilvl w:val="0"/>
          <w:numId w:val="9"/>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w dniu następnym, jednak nie później niż w 4 dni po dniu nadania w przypadku przesyłki listowej najszybszej kategorii,</w:t>
      </w:r>
    </w:p>
    <w:p w14:paraId="3DA1ADA0" w14:textId="77777777" w:rsidR="00887846" w:rsidRPr="00887846" w:rsidRDefault="00887846" w:rsidP="00887846">
      <w:pPr>
        <w:numPr>
          <w:ilvl w:val="0"/>
          <w:numId w:val="9"/>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w dniu następnym, jednak nie później niż w 6 dniu po dniu nadania w przypadku przesyłki nie będącej przesyłką najszybszej kategorii,</w:t>
      </w:r>
    </w:p>
    <w:p w14:paraId="7E8E9F79"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Wykonawca zobowiązany jest do dostarczenia przesyłek do siedziby Zamawiającego w Skarszewach przy ul. Pl. Gen. J. Hallera 18 do sekretariatu pok. nr 15 od poniedziałku do piątku w godzinach od 9.00 - 11.00.</w:t>
      </w:r>
    </w:p>
    <w:p w14:paraId="4088E8AE"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Reklamacje z tytułu nie wykonania usługi Zamawiający może zgłosić do Wykonawcy po upływie 14 dni od nadania przesyłki rejestrowanej, nie później niż 12 miesięcy od ich nadania.</w:t>
      </w:r>
    </w:p>
    <w:p w14:paraId="5F5341A3"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Termin udzielenia odpowiedzi na reklamację nie może przekroczyć 30 dni od dnia otrzymania reklamacji.</w:t>
      </w:r>
    </w:p>
    <w:p w14:paraId="1809EFAC"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Wykonawca odpowiada za niewykonanie lub nienależyte wykonanie usług pocztowych chyba, że nastąpiło to w skutek siły wyższej.</w:t>
      </w:r>
    </w:p>
    <w:p w14:paraId="503C4AB6"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W przypadku nie wykonania usługi Wykonawca niezależnie od należnego odszkodowania zwraca w całości opłatę pobraną za wykonanie usługi.</w:t>
      </w:r>
    </w:p>
    <w:p w14:paraId="340B0EEB"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 xml:space="preserve">W przypadku nadawania przez Zamawiającego przesyłek nie ujętych z podstawą rozliczeń będą ceny </w:t>
      </w:r>
      <w:r w:rsidRPr="00887846">
        <w:rPr>
          <w:rFonts w:ascii="Arial" w:hAnsi="Arial" w:cs="Arial"/>
          <w:sz w:val="20"/>
          <w:szCs w:val="20"/>
        </w:rPr>
        <w:br/>
        <w:t>z aktualnego cennika usług Wykonawcy.</w:t>
      </w:r>
    </w:p>
    <w:p w14:paraId="27482F4E"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W przypadku przesyłek, które nie są rejestrowane – ilość  i waga przyjętych lub zwróconych przesyłek, stwierdzona będzie na podstawie zestawienia nadanych lub zwróconych przesyłek, sporządzona przez Zamawiającego i potwierdzona przez placówkę Wykonawcy.</w:t>
      </w:r>
    </w:p>
    <w:p w14:paraId="174B8653" w14:textId="77777777" w:rsidR="00887846" w:rsidRPr="00887846" w:rsidRDefault="00887846" w:rsidP="00887846">
      <w:pPr>
        <w:numPr>
          <w:ilvl w:val="0"/>
          <w:numId w:val="10"/>
        </w:numPr>
        <w:suppressAutoHyphens w:val="0"/>
        <w:spacing w:line="276" w:lineRule="auto"/>
        <w:jc w:val="both"/>
        <w:rPr>
          <w:rFonts w:ascii="Arial" w:hAnsi="Arial" w:cs="Arial"/>
          <w:sz w:val="20"/>
          <w:szCs w:val="20"/>
        </w:rPr>
      </w:pPr>
      <w:r w:rsidRPr="00887846">
        <w:rPr>
          <w:rFonts w:ascii="Arial" w:hAnsi="Arial" w:cs="Arial"/>
          <w:sz w:val="20"/>
          <w:szCs w:val="20"/>
        </w:rPr>
        <w:t>Rozliczenia usług pocztowych będzie odbywać się w formie:</w:t>
      </w:r>
    </w:p>
    <w:p w14:paraId="476CE077" w14:textId="77777777" w:rsidR="00887846" w:rsidRPr="00887846" w:rsidRDefault="00887846" w:rsidP="00887846">
      <w:pPr>
        <w:numPr>
          <w:ilvl w:val="0"/>
          <w:numId w:val="11"/>
        </w:numPr>
        <w:tabs>
          <w:tab w:val="clear" w:pos="360"/>
        </w:tabs>
        <w:suppressAutoHyphens w:val="0"/>
        <w:spacing w:line="276" w:lineRule="auto"/>
        <w:ind w:left="720"/>
        <w:jc w:val="both"/>
        <w:rPr>
          <w:rFonts w:ascii="Arial" w:hAnsi="Arial" w:cs="Arial"/>
          <w:sz w:val="20"/>
          <w:szCs w:val="20"/>
        </w:rPr>
      </w:pPr>
      <w:r w:rsidRPr="00887846">
        <w:rPr>
          <w:rFonts w:ascii="Arial" w:hAnsi="Arial" w:cs="Arial"/>
          <w:sz w:val="20"/>
          <w:szCs w:val="20"/>
        </w:rPr>
        <w:t>opłaty skredytowanej po wykonanej usłudze na podstawie miesięcznych faktur VAT wystawionych przez Wykonawcę.</w:t>
      </w:r>
    </w:p>
    <w:p w14:paraId="36EC058E" w14:textId="77777777" w:rsidR="00887846" w:rsidRPr="00887846" w:rsidRDefault="00887846" w:rsidP="00887846">
      <w:pPr>
        <w:numPr>
          <w:ilvl w:val="0"/>
          <w:numId w:val="12"/>
        </w:numPr>
        <w:suppressAutoHyphens w:val="0"/>
        <w:spacing w:line="276" w:lineRule="auto"/>
        <w:jc w:val="both"/>
        <w:rPr>
          <w:rFonts w:ascii="Arial" w:hAnsi="Arial" w:cs="Arial"/>
          <w:sz w:val="20"/>
          <w:szCs w:val="20"/>
        </w:rPr>
      </w:pPr>
      <w:r w:rsidRPr="00887846">
        <w:rPr>
          <w:rFonts w:ascii="Arial" w:hAnsi="Arial" w:cs="Arial"/>
          <w:sz w:val="20"/>
          <w:szCs w:val="20"/>
        </w:rPr>
        <w:t>Cena podana przez Wykonawcę nie będzie podlegała zmianom przez okres trwania umowy, z wyjątkiem:</w:t>
      </w:r>
    </w:p>
    <w:p w14:paraId="179DE7A3" w14:textId="77777777" w:rsidR="00887846" w:rsidRPr="00887846" w:rsidRDefault="00887846" w:rsidP="00887846">
      <w:pPr>
        <w:numPr>
          <w:ilvl w:val="0"/>
          <w:numId w:val="1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zmiany stawki VAT na usługi pocztowe,</w:t>
      </w:r>
    </w:p>
    <w:p w14:paraId="1FCC23E5" w14:textId="77777777" w:rsidR="00887846" w:rsidRPr="00887846" w:rsidRDefault="00887846" w:rsidP="00887846">
      <w:pPr>
        <w:numPr>
          <w:ilvl w:val="0"/>
          <w:numId w:val="1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wymogów wynikających z uregulowań prawnych w zakresie ustalenia lub zatwierdzenia cen za powszechne usługi pocztowe w rozumieniu ustawy Prawo Pocztowe, a także okoliczności powodujących, iż zmiana w/w cen leży w interesie publicznym,</w:t>
      </w:r>
    </w:p>
    <w:p w14:paraId="7589CD33" w14:textId="77777777" w:rsidR="00887846" w:rsidRPr="00887846" w:rsidRDefault="00887846" w:rsidP="00887846">
      <w:pPr>
        <w:numPr>
          <w:ilvl w:val="0"/>
          <w:numId w:val="1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obniżenia opłat pocztowych dla usług wynikających z aktualnego cennika lub regulaminu Wykonawcy,</w:t>
      </w:r>
    </w:p>
    <w:p w14:paraId="42920288" w14:textId="77777777" w:rsidR="00887846" w:rsidRPr="00887846" w:rsidRDefault="00887846" w:rsidP="00887846">
      <w:pPr>
        <w:numPr>
          <w:ilvl w:val="0"/>
          <w:numId w:val="13"/>
        </w:numPr>
        <w:tabs>
          <w:tab w:val="clear" w:pos="360"/>
          <w:tab w:val="num" w:pos="720"/>
        </w:tabs>
        <w:suppressAutoHyphens w:val="0"/>
        <w:spacing w:line="276" w:lineRule="auto"/>
        <w:ind w:left="720"/>
        <w:jc w:val="both"/>
        <w:rPr>
          <w:rFonts w:ascii="Arial" w:hAnsi="Arial" w:cs="Arial"/>
          <w:sz w:val="20"/>
          <w:szCs w:val="20"/>
        </w:rPr>
      </w:pPr>
      <w:r w:rsidRPr="00887846">
        <w:rPr>
          <w:rFonts w:ascii="Arial" w:hAnsi="Arial" w:cs="Arial"/>
          <w:sz w:val="20"/>
          <w:szCs w:val="20"/>
        </w:rPr>
        <w:t>korzystania z programów rabatowych oferowanych przez Wykonawcę w toku realizowanej umowy.</w:t>
      </w:r>
    </w:p>
    <w:p w14:paraId="7677EF8C" w14:textId="77777777" w:rsidR="00887846" w:rsidRPr="00887846" w:rsidRDefault="00887846" w:rsidP="00887846">
      <w:pPr>
        <w:numPr>
          <w:ilvl w:val="0"/>
          <w:numId w:val="12"/>
        </w:numPr>
        <w:suppressAutoHyphens w:val="0"/>
        <w:spacing w:line="276" w:lineRule="auto"/>
        <w:jc w:val="both"/>
        <w:rPr>
          <w:rFonts w:ascii="Arial" w:hAnsi="Arial" w:cs="Arial"/>
          <w:sz w:val="20"/>
          <w:szCs w:val="20"/>
        </w:rPr>
      </w:pPr>
      <w:r w:rsidRPr="00887846">
        <w:rPr>
          <w:rFonts w:ascii="Arial" w:hAnsi="Arial" w:cs="Arial"/>
          <w:sz w:val="20"/>
          <w:szCs w:val="20"/>
        </w:rPr>
        <w:t>Wybrany Wykonawca ma obowiązek przedstawić Zamawiającemu wzór umowy, do której załącznik stanowić będzie obowiązujący regulamin świadczenia usług pocztowych wraz z obowiązującymi drukami oraz aktualny cennik usług pocztowych.</w:t>
      </w:r>
    </w:p>
    <w:p w14:paraId="722DCD62" w14:textId="65582E50" w:rsidR="00887846" w:rsidRDefault="00887846" w:rsidP="00887846">
      <w:pPr>
        <w:numPr>
          <w:ilvl w:val="0"/>
          <w:numId w:val="12"/>
        </w:numPr>
        <w:suppressAutoHyphens w:val="0"/>
        <w:spacing w:line="276" w:lineRule="auto"/>
        <w:jc w:val="both"/>
        <w:rPr>
          <w:rFonts w:ascii="Arial" w:hAnsi="Arial" w:cs="Arial"/>
          <w:sz w:val="20"/>
          <w:szCs w:val="20"/>
        </w:rPr>
      </w:pPr>
      <w:r w:rsidRPr="00887846">
        <w:rPr>
          <w:rFonts w:ascii="Arial" w:hAnsi="Arial" w:cs="Arial"/>
          <w:sz w:val="20"/>
          <w:szCs w:val="20"/>
        </w:rPr>
        <w:t>Wykonawca zobowiązuje się do informowania Zamawiającego o każdej zmianie załączników do umowy. Przekazanie zmienionych załączników w formie pisemnej posiada moc wiążącą od daty ich doręczenia i nie powoduje konieczności sporządzania aneksu umowy.</w:t>
      </w:r>
    </w:p>
    <w:p w14:paraId="02F5ACAD" w14:textId="25EE14C2" w:rsidR="00887846" w:rsidRDefault="00887846" w:rsidP="00887846">
      <w:pPr>
        <w:suppressAutoHyphens w:val="0"/>
        <w:spacing w:line="276" w:lineRule="auto"/>
        <w:jc w:val="both"/>
        <w:rPr>
          <w:rFonts w:ascii="Arial" w:hAnsi="Arial" w:cs="Arial"/>
          <w:sz w:val="20"/>
          <w:szCs w:val="20"/>
        </w:rPr>
      </w:pPr>
    </w:p>
    <w:p w14:paraId="399F1AE4" w14:textId="27D76117" w:rsidR="00887846" w:rsidRDefault="00887846" w:rsidP="00887846">
      <w:pPr>
        <w:suppressAutoHyphens w:val="0"/>
        <w:spacing w:line="276" w:lineRule="auto"/>
        <w:jc w:val="both"/>
        <w:rPr>
          <w:rFonts w:ascii="Arial" w:hAnsi="Arial" w:cs="Arial"/>
          <w:sz w:val="20"/>
          <w:szCs w:val="20"/>
        </w:rPr>
      </w:pPr>
    </w:p>
    <w:p w14:paraId="0CB4750B" w14:textId="77777777" w:rsidR="00887846" w:rsidRPr="00887846" w:rsidRDefault="00887846" w:rsidP="00887846">
      <w:pPr>
        <w:suppressAutoHyphens w:val="0"/>
        <w:spacing w:line="276" w:lineRule="auto"/>
        <w:jc w:val="both"/>
        <w:rPr>
          <w:rFonts w:ascii="Arial" w:hAnsi="Arial" w:cs="Arial"/>
          <w:sz w:val="20"/>
          <w:szCs w:val="20"/>
        </w:rPr>
      </w:pPr>
    </w:p>
    <w:p w14:paraId="6608F0D0" w14:textId="51AFEE5C" w:rsidR="00887846" w:rsidRPr="00887846" w:rsidRDefault="00887846" w:rsidP="00887846">
      <w:pPr>
        <w:numPr>
          <w:ilvl w:val="0"/>
          <w:numId w:val="12"/>
        </w:numPr>
        <w:suppressAutoHyphens w:val="0"/>
        <w:spacing w:line="276" w:lineRule="auto"/>
        <w:jc w:val="both"/>
        <w:rPr>
          <w:rFonts w:ascii="Arial" w:hAnsi="Arial" w:cs="Arial"/>
          <w:sz w:val="20"/>
          <w:szCs w:val="20"/>
        </w:rPr>
      </w:pPr>
      <w:r>
        <w:rPr>
          <w:rFonts w:ascii="Arial" w:hAnsi="Arial" w:cs="Arial"/>
          <w:sz w:val="20"/>
          <w:szCs w:val="20"/>
        </w:rPr>
        <w:lastRenderedPageBreak/>
        <w:t>Szacunkowa ilość  i rodzaj przesyłek:</w:t>
      </w:r>
    </w:p>
    <w:p w14:paraId="0818AADD" w14:textId="170D0937" w:rsidR="00887846" w:rsidRPr="00887846" w:rsidRDefault="00887846" w:rsidP="00B33F8A">
      <w:pPr>
        <w:spacing w:line="360" w:lineRule="auto"/>
        <w:ind w:left="57" w:right="57"/>
        <w:rPr>
          <w:rFonts w:ascii="Arial" w:hAnsi="Arial" w:cs="Arial"/>
          <w:b/>
          <w:bCs/>
          <w:color w:val="000000"/>
          <w:sz w:val="20"/>
          <w:szCs w:val="20"/>
        </w:rPr>
      </w:pPr>
    </w:p>
    <w:p w14:paraId="6A275121" w14:textId="77777777" w:rsidR="00887846" w:rsidRDefault="00887846" w:rsidP="00B33F8A">
      <w:pPr>
        <w:spacing w:line="360" w:lineRule="auto"/>
        <w:ind w:left="57" w:right="57"/>
        <w:rPr>
          <w:rFonts w:ascii="Arial" w:hAnsi="Arial" w:cs="Arial"/>
          <w:b/>
          <w:bCs/>
          <w:color w:val="000000"/>
          <w:sz w:val="20"/>
          <w:szCs w:val="20"/>
        </w:rPr>
      </w:pPr>
    </w:p>
    <w:tbl>
      <w:tblPr>
        <w:tblW w:w="9459" w:type="dxa"/>
        <w:tblCellMar>
          <w:left w:w="70" w:type="dxa"/>
          <w:right w:w="70" w:type="dxa"/>
        </w:tblCellMar>
        <w:tblLook w:val="04A0" w:firstRow="1" w:lastRow="0" w:firstColumn="1" w:lastColumn="0" w:noHBand="0" w:noVBand="1"/>
      </w:tblPr>
      <w:tblGrid>
        <w:gridCol w:w="437"/>
        <w:gridCol w:w="2798"/>
        <w:gridCol w:w="1720"/>
        <w:gridCol w:w="1501"/>
        <w:gridCol w:w="1501"/>
        <w:gridCol w:w="1502"/>
      </w:tblGrid>
      <w:tr w:rsidR="00887846" w:rsidRPr="003E3AFC" w14:paraId="05F8AC07" w14:textId="77777777" w:rsidTr="00D81027">
        <w:trPr>
          <w:trHeight w:val="650"/>
        </w:trPr>
        <w:tc>
          <w:tcPr>
            <w:tcW w:w="437" w:type="dxa"/>
            <w:tcBorders>
              <w:top w:val="single" w:sz="4" w:space="0" w:color="3F3F3F"/>
              <w:left w:val="single" w:sz="4" w:space="0" w:color="3F3F3F"/>
              <w:bottom w:val="single" w:sz="4" w:space="0" w:color="auto"/>
              <w:right w:val="single" w:sz="4" w:space="0" w:color="3F3F3F"/>
            </w:tcBorders>
            <w:shd w:val="clear" w:color="000000" w:fill="FFFFFF"/>
            <w:vAlign w:val="center"/>
            <w:hideMark/>
          </w:tcPr>
          <w:p w14:paraId="23408B18"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Lp.</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7E24EEB5"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Rodzaj przesyłki</w:t>
            </w:r>
          </w:p>
        </w:tc>
        <w:tc>
          <w:tcPr>
            <w:tcW w:w="1720" w:type="dxa"/>
            <w:tcBorders>
              <w:top w:val="single" w:sz="4" w:space="0" w:color="3F3F3F"/>
              <w:left w:val="nil"/>
              <w:bottom w:val="single" w:sz="4" w:space="0" w:color="auto"/>
              <w:right w:val="single" w:sz="4" w:space="0" w:color="auto"/>
            </w:tcBorders>
            <w:shd w:val="clear" w:color="000000" w:fill="FFFFFF"/>
            <w:vAlign w:val="center"/>
            <w:hideMark/>
          </w:tcPr>
          <w:p w14:paraId="69E6918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Gramatura</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A114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Szacunkowa ilość przesyłek (szt.)</w:t>
            </w:r>
          </w:p>
        </w:tc>
        <w:tc>
          <w:tcPr>
            <w:tcW w:w="1501" w:type="dxa"/>
            <w:tcBorders>
              <w:top w:val="single" w:sz="4" w:space="0" w:color="3F3F3F"/>
              <w:left w:val="single" w:sz="4" w:space="0" w:color="auto"/>
              <w:bottom w:val="single" w:sz="4" w:space="0" w:color="auto"/>
              <w:right w:val="single" w:sz="4" w:space="0" w:color="3F3F3F"/>
            </w:tcBorders>
            <w:shd w:val="clear" w:color="000000" w:fill="FFFFFF"/>
            <w:vAlign w:val="bottom"/>
            <w:hideMark/>
          </w:tcPr>
          <w:p w14:paraId="7926C3A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Cena jednostkowa netto (zł)</w:t>
            </w:r>
          </w:p>
        </w:tc>
        <w:tc>
          <w:tcPr>
            <w:tcW w:w="1501" w:type="dxa"/>
            <w:tcBorders>
              <w:top w:val="single" w:sz="4" w:space="0" w:color="3F3F3F"/>
              <w:left w:val="nil"/>
              <w:bottom w:val="single" w:sz="4" w:space="0" w:color="auto"/>
              <w:right w:val="single" w:sz="4" w:space="0" w:color="3F3F3F"/>
            </w:tcBorders>
            <w:shd w:val="clear" w:color="000000" w:fill="FFFFFF"/>
            <w:vAlign w:val="bottom"/>
            <w:hideMark/>
          </w:tcPr>
          <w:p w14:paraId="5F2E156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Wartość razem brutto</w:t>
            </w:r>
          </w:p>
        </w:tc>
      </w:tr>
      <w:tr w:rsidR="00887846" w:rsidRPr="003E3AFC" w14:paraId="20508B3F" w14:textId="77777777" w:rsidTr="00D81027">
        <w:trPr>
          <w:trHeight w:val="295"/>
        </w:trPr>
        <w:tc>
          <w:tcPr>
            <w:tcW w:w="437" w:type="dxa"/>
            <w:tcBorders>
              <w:top w:val="single" w:sz="4" w:space="0" w:color="auto"/>
              <w:left w:val="single" w:sz="4" w:space="0" w:color="auto"/>
              <w:bottom w:val="single" w:sz="4" w:space="0" w:color="auto"/>
              <w:right w:val="single" w:sz="4" w:space="0" w:color="3F3F3F"/>
            </w:tcBorders>
            <w:shd w:val="clear" w:color="000000" w:fill="D9D9D9"/>
            <w:vAlign w:val="center"/>
            <w:hideMark/>
          </w:tcPr>
          <w:p w14:paraId="2FEC2937"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w:t>
            </w:r>
          </w:p>
        </w:tc>
        <w:tc>
          <w:tcPr>
            <w:tcW w:w="9022" w:type="dxa"/>
            <w:gridSpan w:val="5"/>
            <w:tcBorders>
              <w:top w:val="single" w:sz="4" w:space="0" w:color="auto"/>
              <w:left w:val="nil"/>
              <w:bottom w:val="single" w:sz="4" w:space="0" w:color="auto"/>
              <w:right w:val="single" w:sz="4" w:space="0" w:color="auto"/>
            </w:tcBorders>
            <w:shd w:val="clear" w:color="000000" w:fill="D9D9D9"/>
            <w:vAlign w:val="center"/>
            <w:hideMark/>
          </w:tcPr>
          <w:p w14:paraId="11F5DDF4"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USŁUGI KRAJOWE</w:t>
            </w:r>
          </w:p>
        </w:tc>
      </w:tr>
      <w:tr w:rsidR="00887846" w:rsidRPr="003E3AFC" w14:paraId="4B45981E" w14:textId="77777777" w:rsidTr="00D81027">
        <w:trPr>
          <w:trHeight w:val="354"/>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4CFAACC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 1.</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47C42829"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nierejestrowane - ekonomiczne</w:t>
            </w:r>
          </w:p>
        </w:tc>
      </w:tr>
      <w:tr w:rsidR="00887846" w:rsidRPr="003E3AFC" w14:paraId="69B35EE0" w14:textId="77777777" w:rsidTr="00887846">
        <w:trPr>
          <w:trHeight w:val="443"/>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47E98DF7"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nil"/>
            </w:tcBorders>
            <w:shd w:val="clear" w:color="000000" w:fill="FFFFFF"/>
            <w:vAlign w:val="center"/>
            <w:hideMark/>
          </w:tcPr>
          <w:p w14:paraId="65F8191D"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79E86C50"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64901FC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8 000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0820636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D92F44F"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2711D45C" w14:textId="77777777" w:rsidTr="00887846">
        <w:trPr>
          <w:trHeight w:val="354"/>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214BB1F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auto"/>
              <w:right w:val="single" w:sz="4" w:space="0" w:color="3F3F3F"/>
            </w:tcBorders>
            <w:shd w:val="clear" w:color="000000" w:fill="FFFFFF"/>
            <w:noWrap/>
            <w:vAlign w:val="center"/>
            <w:hideMark/>
          </w:tcPr>
          <w:p w14:paraId="6FF6E42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M</w:t>
            </w:r>
          </w:p>
        </w:tc>
        <w:tc>
          <w:tcPr>
            <w:tcW w:w="1720" w:type="dxa"/>
            <w:tcBorders>
              <w:top w:val="nil"/>
              <w:left w:val="nil"/>
              <w:bottom w:val="single" w:sz="4" w:space="0" w:color="auto"/>
              <w:right w:val="single" w:sz="4" w:space="0" w:color="3F3F3F"/>
            </w:tcBorders>
            <w:shd w:val="clear" w:color="000000" w:fill="FFFFFF"/>
            <w:noWrap/>
            <w:vAlign w:val="center"/>
            <w:hideMark/>
          </w:tcPr>
          <w:p w14:paraId="6D9AEE4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auto"/>
              <w:right w:val="single" w:sz="4" w:space="0" w:color="3F3F3F"/>
            </w:tcBorders>
            <w:shd w:val="clear" w:color="000000" w:fill="FFFFFF"/>
            <w:noWrap/>
            <w:vAlign w:val="center"/>
            <w:hideMark/>
          </w:tcPr>
          <w:p w14:paraId="6BB3F26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150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716861AA"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4C77B2C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A98A4BF" w14:textId="77777777" w:rsidTr="00887846">
        <w:trPr>
          <w:trHeight w:val="340"/>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720C8803"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65CADCF0"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L</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328ADB2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1406133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30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481C6A6B"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2B564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50C46324" w14:textId="77777777" w:rsidTr="00D81027">
        <w:trPr>
          <w:trHeight w:val="340"/>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7CF528D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 2.</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642DEC05"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nierejestrowane - priorytetowe</w:t>
            </w:r>
          </w:p>
        </w:tc>
      </w:tr>
      <w:tr w:rsidR="00887846" w:rsidRPr="003E3AFC" w14:paraId="137FADDA" w14:textId="77777777" w:rsidTr="00887846">
        <w:trPr>
          <w:trHeight w:val="354"/>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191C486D"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6D134A1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180E8C6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012C434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1A1DACB3"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7F77017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2A380E08" w14:textId="77777777" w:rsidTr="00887846">
        <w:trPr>
          <w:trHeight w:val="443"/>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243D32E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5AD59B6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4FB8C5E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7E8DA4F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1AFF1E82"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842154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65D92849" w14:textId="77777777" w:rsidTr="00887846">
        <w:trPr>
          <w:trHeight w:val="414"/>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437F0154"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7A62C4B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L</w:t>
            </w:r>
          </w:p>
        </w:tc>
        <w:tc>
          <w:tcPr>
            <w:tcW w:w="1720" w:type="dxa"/>
            <w:tcBorders>
              <w:top w:val="nil"/>
              <w:left w:val="nil"/>
              <w:bottom w:val="single" w:sz="4" w:space="0" w:color="auto"/>
              <w:right w:val="single" w:sz="4" w:space="0" w:color="3F3F3F"/>
            </w:tcBorders>
            <w:shd w:val="clear" w:color="000000" w:fill="FFFFFF"/>
            <w:noWrap/>
            <w:vAlign w:val="center"/>
            <w:hideMark/>
          </w:tcPr>
          <w:p w14:paraId="3A225C9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534766F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75462EE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20833D73"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39BB8843" w14:textId="77777777" w:rsidTr="00D81027">
        <w:trPr>
          <w:trHeight w:val="414"/>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56EB6B9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 3.</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208C1983"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ekonomiczne (polecone)</w:t>
            </w:r>
          </w:p>
        </w:tc>
      </w:tr>
      <w:tr w:rsidR="00887846" w:rsidRPr="003E3AFC" w14:paraId="573B37AE" w14:textId="77777777" w:rsidTr="00887846">
        <w:trPr>
          <w:trHeight w:val="340"/>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6A674BBA"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17D1132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4AD8D7A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7BD5C74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1 000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34AF60A"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7DCDB23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1AB2D4AF" w14:textId="77777777" w:rsidTr="00887846">
        <w:trPr>
          <w:trHeight w:val="399"/>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15D3FB8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00656AC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4DBDE3A7"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08D3609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302CC6A3"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0CD2FE2"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6B1022D" w14:textId="77777777" w:rsidTr="00887846">
        <w:trPr>
          <w:trHeight w:val="369"/>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5996006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6A9A96E1"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nil"/>
              <w:left w:val="nil"/>
              <w:bottom w:val="single" w:sz="4" w:space="0" w:color="auto"/>
              <w:right w:val="single" w:sz="4" w:space="0" w:color="3F3F3F"/>
            </w:tcBorders>
            <w:shd w:val="clear" w:color="000000" w:fill="FFFFFF"/>
            <w:noWrap/>
            <w:vAlign w:val="center"/>
            <w:hideMark/>
          </w:tcPr>
          <w:p w14:paraId="479B34A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2840526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46A6CBF5"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07EB3DDD"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34C67D7C" w14:textId="77777777" w:rsidTr="00D81027">
        <w:trPr>
          <w:trHeight w:val="384"/>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2FAD6FB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 4.</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2BA35A28"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priorytetowe (polecone priorytetowe)</w:t>
            </w:r>
          </w:p>
        </w:tc>
      </w:tr>
      <w:tr w:rsidR="00887846" w:rsidRPr="003E3AFC" w14:paraId="6AE4A96C" w14:textId="77777777" w:rsidTr="00887846">
        <w:trPr>
          <w:trHeight w:val="399"/>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3DC8C66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5A712F4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432F4494"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0766CBC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0DA4DF0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090DA0F6"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769BBAA4" w14:textId="77777777" w:rsidTr="00887846">
        <w:trPr>
          <w:trHeight w:val="384"/>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61448CF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1DDFEB5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32554B9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0D42B768"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5382BD70"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59AA556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7519EC8B" w14:textId="77777777" w:rsidTr="00887846">
        <w:trPr>
          <w:trHeight w:val="325"/>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4F541E70"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6920881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nil"/>
              <w:left w:val="nil"/>
              <w:bottom w:val="single" w:sz="4" w:space="0" w:color="auto"/>
              <w:right w:val="single" w:sz="4" w:space="0" w:color="3F3F3F"/>
            </w:tcBorders>
            <w:shd w:val="clear" w:color="000000" w:fill="FFFFFF"/>
            <w:noWrap/>
            <w:vAlign w:val="center"/>
            <w:hideMark/>
          </w:tcPr>
          <w:p w14:paraId="2011357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4F3DEE86"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20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15F47D06"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5F6D09B2"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3C77067C" w14:textId="77777777" w:rsidTr="00D81027">
        <w:trPr>
          <w:trHeight w:val="369"/>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7E948C80"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 5.</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23DEFC05"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ekonomiczne ZPO (polecone ze zwrotnym potwierdzeniem odbioru)</w:t>
            </w:r>
          </w:p>
        </w:tc>
      </w:tr>
      <w:tr w:rsidR="00887846" w:rsidRPr="003E3AFC" w14:paraId="56E1DBFE" w14:textId="77777777" w:rsidTr="00887846">
        <w:trPr>
          <w:trHeight w:val="325"/>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3D40A58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741A134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2761E388"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7162AB5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28 000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7154787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09DF58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51136F5F" w14:textId="77777777" w:rsidTr="00887846">
        <w:trPr>
          <w:trHeight w:val="384"/>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31C17AD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66923C3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131D912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705575D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150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199633D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325063D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BF6F923" w14:textId="77777777" w:rsidTr="00887846">
        <w:trPr>
          <w:trHeight w:val="340"/>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71A46CCB"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4BEEAD6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nil"/>
              <w:left w:val="nil"/>
              <w:bottom w:val="single" w:sz="4" w:space="0" w:color="auto"/>
              <w:right w:val="single" w:sz="4" w:space="0" w:color="3F3F3F"/>
            </w:tcBorders>
            <w:shd w:val="clear" w:color="000000" w:fill="FFFFFF"/>
            <w:noWrap/>
            <w:vAlign w:val="center"/>
            <w:hideMark/>
          </w:tcPr>
          <w:p w14:paraId="1E7FBD8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259603B0"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xml:space="preserve">     50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07183A2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477B9B0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FD5B34E" w14:textId="77777777" w:rsidTr="00D81027">
        <w:trPr>
          <w:trHeight w:val="443"/>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7CC0AA3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lastRenderedPageBreak/>
              <w:t>I. 6.</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065040E1"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priorytetowe ZPO (polecone priorytetowe ze zwrotnym potwierdzeniem odbioru)</w:t>
            </w:r>
          </w:p>
        </w:tc>
      </w:tr>
      <w:tr w:rsidR="00887846" w:rsidRPr="003E3AFC" w14:paraId="6B6A259C" w14:textId="77777777" w:rsidTr="00887846">
        <w:trPr>
          <w:trHeight w:val="458"/>
        </w:trPr>
        <w:tc>
          <w:tcPr>
            <w:tcW w:w="437" w:type="dxa"/>
            <w:tcBorders>
              <w:top w:val="single" w:sz="4" w:space="0" w:color="auto"/>
              <w:left w:val="single" w:sz="4" w:space="0" w:color="3F3F3F"/>
              <w:bottom w:val="single" w:sz="4" w:space="0" w:color="auto"/>
              <w:right w:val="single" w:sz="4" w:space="0" w:color="3F3F3F"/>
            </w:tcBorders>
            <w:shd w:val="clear" w:color="000000" w:fill="FFFFFF"/>
            <w:vAlign w:val="center"/>
            <w:hideMark/>
          </w:tcPr>
          <w:p w14:paraId="544CA0A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1ABD4240"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69A3619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3BE3137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40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116E14D2"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4721814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731A282D" w14:textId="77777777" w:rsidTr="00887846">
        <w:trPr>
          <w:trHeight w:val="458"/>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6231CC2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2B72D9F4"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702025ED"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1C5BEF7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0DFE26CF"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239BBA"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3BEE493B" w14:textId="77777777" w:rsidTr="00887846">
        <w:trPr>
          <w:trHeight w:val="458"/>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4D843EFB"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65710E1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3D37035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0288F3A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AF84AF2"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02601ABC"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6B6045A6" w14:textId="77777777" w:rsidTr="00D81027">
        <w:trPr>
          <w:trHeight w:val="488"/>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3F7C395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I.7</w:t>
            </w:r>
          </w:p>
        </w:tc>
        <w:tc>
          <w:tcPr>
            <w:tcW w:w="9022" w:type="dxa"/>
            <w:gridSpan w:val="5"/>
            <w:tcBorders>
              <w:top w:val="single" w:sz="4" w:space="0" w:color="3F3F3F"/>
              <w:left w:val="nil"/>
              <w:bottom w:val="single" w:sz="4" w:space="0" w:color="auto"/>
              <w:right w:val="single" w:sz="4" w:space="0" w:color="3F3F3F"/>
            </w:tcBorders>
            <w:shd w:val="clear" w:color="000000" w:fill="FFFFFF"/>
            <w:vAlign w:val="center"/>
            <w:hideMark/>
          </w:tcPr>
          <w:p w14:paraId="1BB0DECE"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ekonomiczne EPO (polecone z elektronicznym potwierdzeniem odbioru)</w:t>
            </w:r>
          </w:p>
        </w:tc>
      </w:tr>
      <w:tr w:rsidR="00887846" w:rsidRPr="003E3AFC" w14:paraId="09B458B1" w14:textId="77777777" w:rsidTr="00887846">
        <w:trPr>
          <w:trHeight w:val="502"/>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675CCFB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6E99743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single" w:sz="4" w:space="0" w:color="auto"/>
              <w:left w:val="nil"/>
              <w:bottom w:val="single" w:sz="4" w:space="0" w:color="auto"/>
              <w:right w:val="single" w:sz="4" w:space="0" w:color="3F3F3F"/>
            </w:tcBorders>
            <w:shd w:val="clear" w:color="000000" w:fill="FFFFFF"/>
            <w:vAlign w:val="center"/>
            <w:hideMark/>
          </w:tcPr>
          <w:p w14:paraId="100C994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auto"/>
              <w:right w:val="single" w:sz="4" w:space="0" w:color="3F3F3F"/>
            </w:tcBorders>
            <w:shd w:val="clear" w:color="000000" w:fill="FFFFFF"/>
            <w:vAlign w:val="center"/>
            <w:hideMark/>
          </w:tcPr>
          <w:p w14:paraId="4E6037D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1000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vAlign w:val="center"/>
            <w:hideMark/>
          </w:tcPr>
          <w:p w14:paraId="5C4B1C2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83F75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3A47B59" w14:textId="77777777" w:rsidTr="00887846">
        <w:trPr>
          <w:trHeight w:val="473"/>
        </w:trPr>
        <w:tc>
          <w:tcPr>
            <w:tcW w:w="437" w:type="dxa"/>
            <w:tcBorders>
              <w:top w:val="single" w:sz="4" w:space="0" w:color="auto"/>
              <w:left w:val="single" w:sz="4" w:space="0" w:color="3F3F3F"/>
              <w:bottom w:val="single" w:sz="4" w:space="0" w:color="auto"/>
              <w:right w:val="single" w:sz="4" w:space="0" w:color="3F3F3F"/>
            </w:tcBorders>
            <w:shd w:val="clear" w:color="000000" w:fill="FFFFFF"/>
            <w:vAlign w:val="center"/>
            <w:hideMark/>
          </w:tcPr>
          <w:p w14:paraId="66BB257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349A062D"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single" w:sz="4" w:space="0" w:color="auto"/>
              <w:left w:val="nil"/>
              <w:bottom w:val="single" w:sz="4" w:space="0" w:color="auto"/>
              <w:right w:val="single" w:sz="4" w:space="0" w:color="3F3F3F"/>
            </w:tcBorders>
            <w:shd w:val="clear" w:color="000000" w:fill="FFFFFF"/>
            <w:vAlign w:val="center"/>
            <w:hideMark/>
          </w:tcPr>
          <w:p w14:paraId="13EBB70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single" w:sz="4" w:space="0" w:color="auto"/>
              <w:left w:val="nil"/>
              <w:bottom w:val="single" w:sz="4" w:space="0" w:color="auto"/>
              <w:right w:val="single" w:sz="4" w:space="0" w:color="3F3F3F"/>
            </w:tcBorders>
            <w:shd w:val="clear" w:color="000000" w:fill="FFFFFF"/>
            <w:vAlign w:val="center"/>
            <w:hideMark/>
          </w:tcPr>
          <w:p w14:paraId="54DA4B3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vAlign w:val="center"/>
            <w:hideMark/>
          </w:tcPr>
          <w:p w14:paraId="55850AA5"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vAlign w:val="center"/>
            <w:hideMark/>
          </w:tcPr>
          <w:p w14:paraId="6BF6519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5811E5B" w14:textId="77777777" w:rsidTr="00887846">
        <w:trPr>
          <w:trHeight w:val="473"/>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381CE46B"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4773A39A"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single" w:sz="4" w:space="0" w:color="auto"/>
              <w:left w:val="nil"/>
              <w:bottom w:val="single" w:sz="4" w:space="0" w:color="auto"/>
              <w:right w:val="single" w:sz="4" w:space="0" w:color="3F3F3F"/>
            </w:tcBorders>
            <w:shd w:val="clear" w:color="000000" w:fill="FFFFFF"/>
            <w:vAlign w:val="center"/>
            <w:hideMark/>
          </w:tcPr>
          <w:p w14:paraId="3A5836C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single" w:sz="4" w:space="0" w:color="auto"/>
              <w:left w:val="nil"/>
              <w:bottom w:val="single" w:sz="4" w:space="0" w:color="auto"/>
              <w:right w:val="single" w:sz="4" w:space="0" w:color="3F3F3F"/>
            </w:tcBorders>
            <w:shd w:val="clear" w:color="000000" w:fill="FFFFFF"/>
            <w:vAlign w:val="center"/>
            <w:hideMark/>
          </w:tcPr>
          <w:p w14:paraId="6539E5A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vAlign w:val="center"/>
            <w:hideMark/>
          </w:tcPr>
          <w:p w14:paraId="792C1972"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D92C3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AB75670" w14:textId="77777777" w:rsidTr="00D81027">
        <w:trPr>
          <w:trHeight w:val="547"/>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057658A3"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I.8</w:t>
            </w:r>
          </w:p>
        </w:tc>
        <w:tc>
          <w:tcPr>
            <w:tcW w:w="9022" w:type="dxa"/>
            <w:gridSpan w:val="5"/>
            <w:tcBorders>
              <w:top w:val="single" w:sz="4" w:space="0" w:color="auto"/>
              <w:left w:val="nil"/>
              <w:bottom w:val="single" w:sz="4" w:space="0" w:color="3F3F3F"/>
              <w:right w:val="single" w:sz="4" w:space="0" w:color="3F3F3F"/>
            </w:tcBorders>
            <w:shd w:val="clear" w:color="000000" w:fill="FFFFFF"/>
            <w:vAlign w:val="center"/>
            <w:hideMark/>
          </w:tcPr>
          <w:p w14:paraId="283314F2"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priorytetowe EPO (polecone priorytetowe z elektronicznym potwierdzeniem odbioru)</w:t>
            </w:r>
          </w:p>
        </w:tc>
      </w:tr>
      <w:tr w:rsidR="00887846" w:rsidRPr="003E3AFC" w14:paraId="22A87097" w14:textId="77777777" w:rsidTr="00887846">
        <w:trPr>
          <w:trHeight w:val="517"/>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767BEE4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0B7254E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nil"/>
              <w:left w:val="nil"/>
              <w:bottom w:val="single" w:sz="4" w:space="0" w:color="3F3F3F"/>
              <w:right w:val="single" w:sz="4" w:space="0" w:color="3F3F3F"/>
            </w:tcBorders>
            <w:shd w:val="clear" w:color="000000" w:fill="FFFFFF"/>
            <w:vAlign w:val="center"/>
            <w:hideMark/>
          </w:tcPr>
          <w:p w14:paraId="3C309DE7"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nil"/>
              <w:left w:val="nil"/>
              <w:bottom w:val="single" w:sz="4" w:space="0" w:color="3F3F3F"/>
              <w:right w:val="single" w:sz="4" w:space="0" w:color="3F3F3F"/>
            </w:tcBorders>
            <w:shd w:val="clear" w:color="000000" w:fill="FFFFFF"/>
            <w:vAlign w:val="center"/>
            <w:hideMark/>
          </w:tcPr>
          <w:p w14:paraId="30267B4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4F548D9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79C8AD2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17469F1E" w14:textId="77777777" w:rsidTr="00887846">
        <w:trPr>
          <w:trHeight w:val="443"/>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32F41138"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58456C4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nil"/>
              <w:left w:val="nil"/>
              <w:bottom w:val="single" w:sz="4" w:space="0" w:color="3F3F3F"/>
              <w:right w:val="single" w:sz="4" w:space="0" w:color="3F3F3F"/>
            </w:tcBorders>
            <w:shd w:val="clear" w:color="000000" w:fill="FFFFFF"/>
            <w:vAlign w:val="center"/>
            <w:hideMark/>
          </w:tcPr>
          <w:p w14:paraId="7A58D9C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vAlign w:val="center"/>
            <w:hideMark/>
          </w:tcPr>
          <w:p w14:paraId="3DA89C23"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087ABE90"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67ED579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7CAEB80D" w14:textId="77777777" w:rsidTr="00887846">
        <w:trPr>
          <w:trHeight w:val="414"/>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0B52F228"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08209B1D"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nil"/>
              <w:left w:val="nil"/>
              <w:bottom w:val="single" w:sz="4" w:space="0" w:color="3F3F3F"/>
              <w:right w:val="single" w:sz="4" w:space="0" w:color="3F3F3F"/>
            </w:tcBorders>
            <w:shd w:val="clear" w:color="000000" w:fill="FFFFFF"/>
            <w:vAlign w:val="center"/>
            <w:hideMark/>
          </w:tcPr>
          <w:p w14:paraId="65EB4BF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3F3F3F"/>
              <w:right w:val="single" w:sz="4" w:space="0" w:color="3F3F3F"/>
            </w:tcBorders>
            <w:shd w:val="clear" w:color="000000" w:fill="FFFFFF"/>
            <w:vAlign w:val="center"/>
            <w:hideMark/>
          </w:tcPr>
          <w:p w14:paraId="0ECD8DC2"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10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7EC4153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14:paraId="436E61E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7D7DC0D" w14:textId="77777777" w:rsidTr="00D81027">
        <w:trPr>
          <w:trHeight w:val="369"/>
        </w:trPr>
        <w:tc>
          <w:tcPr>
            <w:tcW w:w="437" w:type="dxa"/>
            <w:tcBorders>
              <w:top w:val="nil"/>
              <w:left w:val="single" w:sz="4" w:space="0" w:color="3F3F3F"/>
              <w:bottom w:val="single" w:sz="4" w:space="0" w:color="auto"/>
              <w:right w:val="single" w:sz="4" w:space="0" w:color="3F3F3F"/>
            </w:tcBorders>
            <w:shd w:val="clear" w:color="000000" w:fill="D9D9D9"/>
            <w:vAlign w:val="center"/>
            <w:hideMark/>
          </w:tcPr>
          <w:p w14:paraId="55D7C275"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w:t>
            </w:r>
          </w:p>
        </w:tc>
        <w:tc>
          <w:tcPr>
            <w:tcW w:w="9022" w:type="dxa"/>
            <w:gridSpan w:val="5"/>
            <w:tcBorders>
              <w:top w:val="single" w:sz="4" w:space="0" w:color="3F3F3F"/>
              <w:left w:val="nil"/>
              <w:bottom w:val="single" w:sz="4" w:space="0" w:color="auto"/>
              <w:right w:val="nil"/>
            </w:tcBorders>
            <w:shd w:val="clear" w:color="000000" w:fill="D9D9D9"/>
            <w:vAlign w:val="center"/>
            <w:hideMark/>
          </w:tcPr>
          <w:p w14:paraId="514BE688"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PACZKI POCZTOWE</w:t>
            </w:r>
          </w:p>
        </w:tc>
      </w:tr>
      <w:tr w:rsidR="00887846" w:rsidRPr="003E3AFC" w14:paraId="015D04BB" w14:textId="77777777" w:rsidTr="00D81027">
        <w:trPr>
          <w:trHeight w:val="295"/>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5F21C71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 1.</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2DDFE4E6"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 xml:space="preserve">Paczki pocztowe ekonomiczne </w:t>
            </w:r>
          </w:p>
        </w:tc>
      </w:tr>
      <w:tr w:rsidR="00887846" w:rsidRPr="003E3AFC" w14:paraId="340C9EAD" w14:textId="77777777" w:rsidTr="00887846">
        <w:trPr>
          <w:trHeight w:val="547"/>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688B1DB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3C0121D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single" w:sz="4" w:space="0" w:color="auto"/>
              <w:left w:val="nil"/>
              <w:bottom w:val="single" w:sz="4" w:space="0" w:color="3F3F3F"/>
              <w:right w:val="single" w:sz="4" w:space="0" w:color="3F3F3F"/>
            </w:tcBorders>
            <w:shd w:val="clear" w:color="000000" w:fill="FFFFFF"/>
            <w:vAlign w:val="center"/>
            <w:hideMark/>
          </w:tcPr>
          <w:p w14:paraId="127C51A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1 kg</w:t>
            </w:r>
          </w:p>
        </w:tc>
        <w:tc>
          <w:tcPr>
            <w:tcW w:w="1501" w:type="dxa"/>
            <w:tcBorders>
              <w:top w:val="single" w:sz="4" w:space="0" w:color="auto"/>
              <w:left w:val="nil"/>
              <w:bottom w:val="single" w:sz="4" w:space="0" w:color="3F3F3F"/>
              <w:right w:val="single" w:sz="4" w:space="0" w:color="3F3F3F"/>
            </w:tcBorders>
            <w:shd w:val="clear" w:color="000000" w:fill="FFFFFF"/>
            <w:vAlign w:val="center"/>
            <w:hideMark/>
          </w:tcPr>
          <w:p w14:paraId="4654787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319F1593"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3F0B6AC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A2506B2" w14:textId="77777777" w:rsidTr="00887846">
        <w:trPr>
          <w:trHeight w:val="576"/>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63301DC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47F32758"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3F3F3F"/>
              <w:right w:val="single" w:sz="4" w:space="0" w:color="3F3F3F"/>
            </w:tcBorders>
            <w:shd w:val="clear" w:color="000000" w:fill="FFFFFF"/>
            <w:vAlign w:val="center"/>
            <w:hideMark/>
          </w:tcPr>
          <w:p w14:paraId="563942D1"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 kg do 2 kg</w:t>
            </w:r>
          </w:p>
        </w:tc>
        <w:tc>
          <w:tcPr>
            <w:tcW w:w="1501" w:type="dxa"/>
            <w:tcBorders>
              <w:top w:val="nil"/>
              <w:left w:val="nil"/>
              <w:bottom w:val="single" w:sz="4" w:space="0" w:color="3F3F3F"/>
              <w:right w:val="single" w:sz="4" w:space="0" w:color="3F3F3F"/>
            </w:tcBorders>
            <w:shd w:val="clear" w:color="000000" w:fill="FFFFFF"/>
            <w:vAlign w:val="center"/>
            <w:hideMark/>
          </w:tcPr>
          <w:p w14:paraId="6DC542AF"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39C2FF5"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59E8918F"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05B1DC62" w14:textId="77777777" w:rsidTr="00887846">
        <w:trPr>
          <w:trHeight w:val="562"/>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097EBC2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5E04BD58"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3F3F3F"/>
              <w:right w:val="single" w:sz="4" w:space="0" w:color="3F3F3F"/>
            </w:tcBorders>
            <w:shd w:val="clear" w:color="000000" w:fill="FFFFFF"/>
            <w:vAlign w:val="center"/>
            <w:hideMark/>
          </w:tcPr>
          <w:p w14:paraId="76E0B401"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2 kg do 5 kg</w:t>
            </w:r>
          </w:p>
        </w:tc>
        <w:tc>
          <w:tcPr>
            <w:tcW w:w="1501" w:type="dxa"/>
            <w:tcBorders>
              <w:top w:val="nil"/>
              <w:left w:val="nil"/>
              <w:bottom w:val="single" w:sz="4" w:space="0" w:color="3F3F3F"/>
              <w:right w:val="single" w:sz="4" w:space="0" w:color="3F3F3F"/>
            </w:tcBorders>
            <w:shd w:val="clear" w:color="000000" w:fill="FFFFFF"/>
            <w:vAlign w:val="center"/>
            <w:hideMark/>
          </w:tcPr>
          <w:p w14:paraId="25667EC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15</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681B62CD"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7DAA34A0"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31ECEDA8" w14:textId="77777777" w:rsidTr="00887846">
        <w:trPr>
          <w:trHeight w:val="547"/>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136051A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4</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71283F8A"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auto"/>
              <w:right w:val="single" w:sz="4" w:space="0" w:color="3F3F3F"/>
            </w:tcBorders>
            <w:shd w:val="clear" w:color="000000" w:fill="FFFFFF"/>
            <w:vAlign w:val="center"/>
            <w:hideMark/>
          </w:tcPr>
          <w:p w14:paraId="301A77D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 kg do 10 kg</w:t>
            </w:r>
          </w:p>
        </w:tc>
        <w:tc>
          <w:tcPr>
            <w:tcW w:w="1501" w:type="dxa"/>
            <w:tcBorders>
              <w:top w:val="nil"/>
              <w:left w:val="nil"/>
              <w:bottom w:val="single" w:sz="4" w:space="0" w:color="auto"/>
              <w:right w:val="single" w:sz="4" w:space="0" w:color="3F3F3F"/>
            </w:tcBorders>
            <w:shd w:val="clear" w:color="000000" w:fill="FFFFFF"/>
            <w:vAlign w:val="center"/>
            <w:hideMark/>
          </w:tcPr>
          <w:p w14:paraId="02750DF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2</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5FA5647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670B273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2EBEE803" w14:textId="77777777" w:rsidTr="00D81027">
        <w:trPr>
          <w:trHeight w:val="458"/>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69661D19"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 2.</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0D772479"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Paczki pocztowe ekonomiczne ZPO (ze zwrotnym potwierdzeniem odbioru)</w:t>
            </w:r>
          </w:p>
        </w:tc>
      </w:tr>
      <w:tr w:rsidR="00887846" w:rsidRPr="003E3AFC" w14:paraId="133A6DB7" w14:textId="77777777" w:rsidTr="00887846">
        <w:trPr>
          <w:trHeight w:val="532"/>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6CD77B73"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21A7EC1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single" w:sz="4" w:space="0" w:color="auto"/>
              <w:left w:val="nil"/>
              <w:bottom w:val="single" w:sz="4" w:space="0" w:color="3F3F3F"/>
              <w:right w:val="single" w:sz="4" w:space="0" w:color="3F3F3F"/>
            </w:tcBorders>
            <w:shd w:val="clear" w:color="000000" w:fill="FFFFFF"/>
            <w:vAlign w:val="center"/>
            <w:hideMark/>
          </w:tcPr>
          <w:p w14:paraId="42198F11"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1 kg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69924F0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2CEF715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78DB618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B3C6C04" w14:textId="77777777" w:rsidTr="00887846">
        <w:trPr>
          <w:trHeight w:val="517"/>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438FB2F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7AD16B0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3F3F3F"/>
              <w:right w:val="single" w:sz="4" w:space="0" w:color="3F3F3F"/>
            </w:tcBorders>
            <w:shd w:val="clear" w:color="000000" w:fill="FFFFFF"/>
            <w:vAlign w:val="center"/>
            <w:hideMark/>
          </w:tcPr>
          <w:p w14:paraId="4F038EF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 kg do 2 kg</w:t>
            </w:r>
          </w:p>
        </w:tc>
        <w:tc>
          <w:tcPr>
            <w:tcW w:w="1501" w:type="dxa"/>
            <w:tcBorders>
              <w:top w:val="nil"/>
              <w:left w:val="nil"/>
              <w:bottom w:val="single" w:sz="4" w:space="0" w:color="3F3F3F"/>
              <w:right w:val="single" w:sz="4" w:space="0" w:color="3F3F3F"/>
            </w:tcBorders>
            <w:shd w:val="clear" w:color="000000" w:fill="FFFFFF"/>
            <w:noWrap/>
            <w:vAlign w:val="center"/>
            <w:hideMark/>
          </w:tcPr>
          <w:p w14:paraId="5691303D"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1AF47412"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2F159D33"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20349DA" w14:textId="77777777" w:rsidTr="00887846">
        <w:trPr>
          <w:trHeight w:val="576"/>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0808C207"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530841A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3F3F3F"/>
              <w:right w:val="single" w:sz="4" w:space="0" w:color="3F3F3F"/>
            </w:tcBorders>
            <w:shd w:val="clear" w:color="000000" w:fill="FFFFFF"/>
            <w:vAlign w:val="center"/>
            <w:hideMark/>
          </w:tcPr>
          <w:p w14:paraId="7ECBD64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2 kg do 5 kg</w:t>
            </w:r>
          </w:p>
        </w:tc>
        <w:tc>
          <w:tcPr>
            <w:tcW w:w="1501" w:type="dxa"/>
            <w:tcBorders>
              <w:top w:val="nil"/>
              <w:left w:val="nil"/>
              <w:bottom w:val="single" w:sz="4" w:space="0" w:color="3F3F3F"/>
              <w:right w:val="single" w:sz="4" w:space="0" w:color="3F3F3F"/>
            </w:tcBorders>
            <w:shd w:val="clear" w:color="000000" w:fill="FFFFFF"/>
            <w:noWrap/>
            <w:vAlign w:val="center"/>
            <w:hideMark/>
          </w:tcPr>
          <w:p w14:paraId="6CE8FCA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1313A75"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189C5F5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2E32894" w14:textId="77777777" w:rsidTr="00887846">
        <w:trPr>
          <w:trHeight w:val="576"/>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13350C9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4</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7530888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Paczka pocztowa ekonomiczna gabaryt A</w:t>
            </w:r>
          </w:p>
        </w:tc>
        <w:tc>
          <w:tcPr>
            <w:tcW w:w="1720" w:type="dxa"/>
            <w:tcBorders>
              <w:top w:val="nil"/>
              <w:left w:val="nil"/>
              <w:bottom w:val="single" w:sz="4" w:space="0" w:color="auto"/>
              <w:right w:val="single" w:sz="4" w:space="0" w:color="3F3F3F"/>
            </w:tcBorders>
            <w:shd w:val="clear" w:color="000000" w:fill="FFFFFF"/>
            <w:vAlign w:val="center"/>
            <w:hideMark/>
          </w:tcPr>
          <w:p w14:paraId="61F3233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 kg do 10 kg</w:t>
            </w:r>
          </w:p>
        </w:tc>
        <w:tc>
          <w:tcPr>
            <w:tcW w:w="1501" w:type="dxa"/>
            <w:tcBorders>
              <w:top w:val="nil"/>
              <w:left w:val="nil"/>
              <w:bottom w:val="single" w:sz="4" w:space="0" w:color="auto"/>
              <w:right w:val="single" w:sz="4" w:space="0" w:color="3F3F3F"/>
            </w:tcBorders>
            <w:shd w:val="clear" w:color="000000" w:fill="FFFFFF"/>
            <w:noWrap/>
            <w:vAlign w:val="center"/>
            <w:hideMark/>
          </w:tcPr>
          <w:p w14:paraId="479B1CBF"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5</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24AA997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3FCE280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41627B64" w14:textId="77777777" w:rsidTr="00D81027">
        <w:trPr>
          <w:trHeight w:val="591"/>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3F9895E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 3.</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5BBB741E"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Paczki pocztowe z deklarowaną wartością - ekonomiczne ZPO (ze zwrotnym potwierdzeniem odbioru)</w:t>
            </w:r>
          </w:p>
        </w:tc>
      </w:tr>
      <w:tr w:rsidR="00887846" w:rsidRPr="003E3AFC" w14:paraId="5B163E71" w14:textId="77777777" w:rsidTr="00D81027">
        <w:trPr>
          <w:trHeight w:val="576"/>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7A2472A8"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lastRenderedPageBreak/>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634F943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Paczki pocztowe ekonomiczna gabaryt A</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7EF6AFB7" w14:textId="77777777" w:rsidR="00887846" w:rsidRPr="003E3AFC" w:rsidRDefault="00887846" w:rsidP="00D81027">
            <w:pPr>
              <w:jc w:val="center"/>
              <w:rPr>
                <w:rFonts w:ascii="Calibri" w:hAnsi="Calibri" w:cs="Calibri"/>
                <w:color w:val="3F3F3F"/>
                <w:lang w:eastAsia="pl-PL"/>
              </w:rPr>
            </w:pPr>
            <w:r w:rsidRPr="003E3AFC">
              <w:rPr>
                <w:rFonts w:ascii="Calibri" w:hAnsi="Calibri" w:cs="Calibri"/>
                <w:color w:val="3F3F3F"/>
                <w:lang w:eastAsia="pl-PL"/>
              </w:rPr>
              <w:t>do 1 kg wartość do 50 zł</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58BFEB3A"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55AFF1B3"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59D853DD"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FE7CC0E" w14:textId="77777777" w:rsidTr="00D81027">
        <w:trPr>
          <w:trHeight w:val="369"/>
        </w:trPr>
        <w:tc>
          <w:tcPr>
            <w:tcW w:w="437" w:type="dxa"/>
            <w:tcBorders>
              <w:top w:val="nil"/>
              <w:left w:val="single" w:sz="4" w:space="0" w:color="3F3F3F"/>
              <w:bottom w:val="single" w:sz="4" w:space="0" w:color="auto"/>
              <w:right w:val="single" w:sz="4" w:space="0" w:color="3F3F3F"/>
            </w:tcBorders>
            <w:shd w:val="clear" w:color="000000" w:fill="D9D9D9"/>
            <w:vAlign w:val="center"/>
            <w:hideMark/>
          </w:tcPr>
          <w:p w14:paraId="7F666A3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III.</w:t>
            </w:r>
          </w:p>
        </w:tc>
        <w:tc>
          <w:tcPr>
            <w:tcW w:w="9022" w:type="dxa"/>
            <w:gridSpan w:val="5"/>
            <w:tcBorders>
              <w:top w:val="single" w:sz="4" w:space="0" w:color="3F3F3F"/>
              <w:left w:val="nil"/>
              <w:bottom w:val="single" w:sz="4" w:space="0" w:color="auto"/>
              <w:right w:val="nil"/>
            </w:tcBorders>
            <w:shd w:val="clear" w:color="000000" w:fill="D9D9D9"/>
            <w:vAlign w:val="center"/>
            <w:hideMark/>
          </w:tcPr>
          <w:p w14:paraId="1706834D"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USŁUGI ZAGRANICZNE</w:t>
            </w:r>
          </w:p>
        </w:tc>
      </w:tr>
      <w:tr w:rsidR="00887846" w:rsidRPr="003E3AFC" w14:paraId="3119E2E1" w14:textId="77777777" w:rsidTr="00D81027">
        <w:trPr>
          <w:trHeight w:val="443"/>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2A8C1FE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III. 1.</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5CB1EE90"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nierejestrowane - priorytetowe (Europa)</w:t>
            </w:r>
          </w:p>
        </w:tc>
      </w:tr>
      <w:tr w:rsidR="00887846" w:rsidRPr="003E3AFC" w14:paraId="34F051C9" w14:textId="77777777" w:rsidTr="00887846">
        <w:trPr>
          <w:trHeight w:val="399"/>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4921A00A"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2A05725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2E00D4E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 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70F4F643"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50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00985FB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709C3D80"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5FE15448" w14:textId="77777777" w:rsidTr="00887846">
        <w:trPr>
          <w:trHeight w:val="399"/>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027E5BD2"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44954BE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nil"/>
              <w:left w:val="nil"/>
              <w:bottom w:val="single" w:sz="4" w:space="0" w:color="3F3F3F"/>
              <w:right w:val="single" w:sz="4" w:space="0" w:color="3F3F3F"/>
            </w:tcBorders>
            <w:shd w:val="clear" w:color="000000" w:fill="FFFFFF"/>
            <w:noWrap/>
            <w:vAlign w:val="center"/>
            <w:hideMark/>
          </w:tcPr>
          <w:p w14:paraId="2E8E854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50g do 100g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2C9B34B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5942B828"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6F9FC8A5"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7C0C2F1F" w14:textId="77777777" w:rsidTr="00887846">
        <w:trPr>
          <w:trHeight w:val="399"/>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626B2F30"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44FE26E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nil"/>
              <w:left w:val="nil"/>
              <w:bottom w:val="single" w:sz="4" w:space="0" w:color="auto"/>
              <w:right w:val="single" w:sz="4" w:space="0" w:color="3F3F3F"/>
            </w:tcBorders>
            <w:shd w:val="clear" w:color="000000" w:fill="FFFFFF"/>
            <w:noWrap/>
            <w:vAlign w:val="center"/>
            <w:hideMark/>
          </w:tcPr>
          <w:p w14:paraId="6526EC97"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100g do 350g</w:t>
            </w:r>
          </w:p>
        </w:tc>
        <w:tc>
          <w:tcPr>
            <w:tcW w:w="1501" w:type="dxa"/>
            <w:tcBorders>
              <w:top w:val="nil"/>
              <w:left w:val="nil"/>
              <w:bottom w:val="single" w:sz="4" w:space="0" w:color="auto"/>
              <w:right w:val="single" w:sz="4" w:space="0" w:color="3F3F3F"/>
            </w:tcBorders>
            <w:shd w:val="clear" w:color="000000" w:fill="FFFFFF"/>
            <w:noWrap/>
            <w:vAlign w:val="center"/>
            <w:hideMark/>
          </w:tcPr>
          <w:p w14:paraId="214F4F0C"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7A98524D"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409A5719"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607865DE" w14:textId="77777777" w:rsidTr="00887846">
        <w:trPr>
          <w:trHeight w:val="399"/>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7A78BEA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4</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0538145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5370520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350g do 500g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1708826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3C7FA6C6"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2DCF5A"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1A9F3540" w14:textId="77777777" w:rsidTr="00887846">
        <w:trPr>
          <w:trHeight w:val="399"/>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05E8DC0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5</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514CCA7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0A00D2C3"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5CA242E7"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7ED7D5F"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4CEF7D1A"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3584DE18" w14:textId="77777777" w:rsidTr="00887846">
        <w:trPr>
          <w:trHeight w:val="399"/>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68CA93D1"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6</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3E95A24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gabaryt A</w:t>
            </w:r>
          </w:p>
        </w:tc>
        <w:tc>
          <w:tcPr>
            <w:tcW w:w="1720" w:type="dxa"/>
            <w:tcBorders>
              <w:top w:val="nil"/>
              <w:left w:val="nil"/>
              <w:bottom w:val="single" w:sz="4" w:space="0" w:color="auto"/>
              <w:right w:val="single" w:sz="4" w:space="0" w:color="3F3F3F"/>
            </w:tcBorders>
            <w:shd w:val="clear" w:color="000000" w:fill="FFFFFF"/>
            <w:noWrap/>
            <w:vAlign w:val="center"/>
            <w:hideMark/>
          </w:tcPr>
          <w:p w14:paraId="0D7F401C"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65CB1C2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3C03136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5D0C2218"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r>
      <w:tr w:rsidR="00887846" w:rsidRPr="003E3AFC" w14:paraId="733341D6" w14:textId="77777777" w:rsidTr="00D81027">
        <w:trPr>
          <w:trHeight w:val="591"/>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4548FD5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III. 2.</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1C2C8692"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priorytetowe (Europa) (polecone)</w:t>
            </w:r>
          </w:p>
        </w:tc>
      </w:tr>
      <w:tr w:rsidR="00887846" w:rsidRPr="003E3AFC" w14:paraId="298A4C93" w14:textId="77777777" w:rsidTr="00887846">
        <w:trPr>
          <w:trHeight w:val="562"/>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1071B4CB"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7531819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gabaryt A</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0744B63A"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 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720F9008"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20</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center"/>
            <w:hideMark/>
          </w:tcPr>
          <w:p w14:paraId="5A156F40"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center"/>
            <w:hideMark/>
          </w:tcPr>
          <w:p w14:paraId="0359DD4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35DF1AF6" w14:textId="77777777" w:rsidTr="00887846">
        <w:trPr>
          <w:trHeight w:val="502"/>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39A87932"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0F3E4C2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gabaryt A</w:t>
            </w:r>
          </w:p>
        </w:tc>
        <w:tc>
          <w:tcPr>
            <w:tcW w:w="1720" w:type="dxa"/>
            <w:tcBorders>
              <w:top w:val="nil"/>
              <w:left w:val="nil"/>
              <w:bottom w:val="single" w:sz="4" w:space="0" w:color="auto"/>
              <w:right w:val="single" w:sz="4" w:space="0" w:color="3F3F3F"/>
            </w:tcBorders>
            <w:shd w:val="clear" w:color="000000" w:fill="FFFFFF"/>
            <w:noWrap/>
            <w:vAlign w:val="center"/>
            <w:hideMark/>
          </w:tcPr>
          <w:p w14:paraId="63FD527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od 100g do 350g</w:t>
            </w:r>
          </w:p>
        </w:tc>
        <w:tc>
          <w:tcPr>
            <w:tcW w:w="1501" w:type="dxa"/>
            <w:tcBorders>
              <w:top w:val="nil"/>
              <w:left w:val="nil"/>
              <w:bottom w:val="single" w:sz="4" w:space="0" w:color="auto"/>
              <w:right w:val="single" w:sz="4" w:space="0" w:color="3F3F3F"/>
            </w:tcBorders>
            <w:shd w:val="clear" w:color="000000" w:fill="FFFFFF"/>
            <w:noWrap/>
            <w:vAlign w:val="center"/>
            <w:hideMark/>
          </w:tcPr>
          <w:p w14:paraId="085132D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10</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center"/>
            <w:hideMark/>
          </w:tcPr>
          <w:p w14:paraId="2E191264"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center"/>
            <w:hideMark/>
          </w:tcPr>
          <w:p w14:paraId="12E35275"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D8D2A46" w14:textId="77777777" w:rsidTr="00D81027">
        <w:trPr>
          <w:trHeight w:val="532"/>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4B1A1BA5"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III. 3</w:t>
            </w:r>
          </w:p>
        </w:tc>
        <w:tc>
          <w:tcPr>
            <w:tcW w:w="9022" w:type="dxa"/>
            <w:gridSpan w:val="5"/>
            <w:tcBorders>
              <w:top w:val="single" w:sz="4" w:space="0" w:color="auto"/>
              <w:left w:val="nil"/>
              <w:bottom w:val="single" w:sz="4" w:space="0" w:color="auto"/>
              <w:right w:val="single" w:sz="4" w:space="0" w:color="auto"/>
            </w:tcBorders>
            <w:shd w:val="clear" w:color="000000" w:fill="FFFFFF"/>
            <w:vAlign w:val="center"/>
            <w:hideMark/>
          </w:tcPr>
          <w:p w14:paraId="43A35F55"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Przesyłki listowe rejestrowane - priorytetowe ZPO (Europa) (polecone ze zwrotnym potwierdzeniem odbioru)</w:t>
            </w:r>
          </w:p>
        </w:tc>
      </w:tr>
      <w:tr w:rsidR="00887846" w:rsidRPr="003E3AFC" w14:paraId="3276E5AF" w14:textId="77777777" w:rsidTr="00887846">
        <w:trPr>
          <w:trHeight w:val="488"/>
        </w:trPr>
        <w:tc>
          <w:tcPr>
            <w:tcW w:w="437" w:type="dxa"/>
            <w:tcBorders>
              <w:top w:val="single" w:sz="4" w:space="0" w:color="auto"/>
              <w:left w:val="single" w:sz="4" w:space="0" w:color="3F3F3F"/>
              <w:bottom w:val="single" w:sz="4" w:space="0" w:color="auto"/>
              <w:right w:val="single" w:sz="4" w:space="0" w:color="3F3F3F"/>
            </w:tcBorders>
            <w:shd w:val="clear" w:color="000000" w:fill="FFFFFF"/>
            <w:vAlign w:val="center"/>
            <w:hideMark/>
          </w:tcPr>
          <w:p w14:paraId="5B9BBCEF"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00AC004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gabaryt A</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619298E0"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4FFFAC5B"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30</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center"/>
            <w:hideMark/>
          </w:tcPr>
          <w:p w14:paraId="1E840257" w14:textId="77777777" w:rsidR="00887846" w:rsidRPr="003E3AFC" w:rsidRDefault="00887846" w:rsidP="00D81027">
            <w:pPr>
              <w:jc w:val="right"/>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center"/>
            <w:hideMark/>
          </w:tcPr>
          <w:p w14:paraId="495A90EE"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3CFB3825" w14:textId="77777777" w:rsidTr="00D81027">
        <w:trPr>
          <w:trHeight w:val="354"/>
        </w:trPr>
        <w:tc>
          <w:tcPr>
            <w:tcW w:w="437" w:type="dxa"/>
            <w:tcBorders>
              <w:top w:val="single" w:sz="4" w:space="0" w:color="auto"/>
              <w:left w:val="single" w:sz="4" w:space="0" w:color="auto"/>
              <w:bottom w:val="single" w:sz="4" w:space="0" w:color="auto"/>
              <w:right w:val="single" w:sz="4" w:space="0" w:color="3F3F3F"/>
            </w:tcBorders>
            <w:shd w:val="clear" w:color="000000" w:fill="D9D9D9"/>
            <w:vAlign w:val="center"/>
            <w:hideMark/>
          </w:tcPr>
          <w:p w14:paraId="165641A5"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IV.</w:t>
            </w:r>
          </w:p>
        </w:tc>
        <w:tc>
          <w:tcPr>
            <w:tcW w:w="9022" w:type="dxa"/>
            <w:gridSpan w:val="5"/>
            <w:tcBorders>
              <w:top w:val="single" w:sz="4" w:space="0" w:color="auto"/>
              <w:left w:val="nil"/>
              <w:bottom w:val="single" w:sz="4" w:space="0" w:color="auto"/>
              <w:right w:val="single" w:sz="4" w:space="0" w:color="auto"/>
            </w:tcBorders>
            <w:shd w:val="clear" w:color="000000" w:fill="D9D9D9"/>
            <w:vAlign w:val="center"/>
            <w:hideMark/>
          </w:tcPr>
          <w:p w14:paraId="06210CF8" w14:textId="77777777" w:rsidR="00887846" w:rsidRPr="003E3AFC" w:rsidRDefault="00887846" w:rsidP="00D81027">
            <w:pPr>
              <w:rPr>
                <w:rFonts w:ascii="Calibri" w:hAnsi="Calibri" w:cs="Calibri"/>
                <w:b/>
                <w:bCs/>
                <w:color w:val="3F3F3F"/>
                <w:lang w:eastAsia="pl-PL"/>
              </w:rPr>
            </w:pPr>
            <w:r w:rsidRPr="003E3AFC">
              <w:rPr>
                <w:rFonts w:ascii="Calibri" w:hAnsi="Calibri" w:cs="Calibri"/>
                <w:b/>
                <w:bCs/>
                <w:color w:val="3F3F3F"/>
                <w:lang w:eastAsia="pl-PL"/>
              </w:rPr>
              <w:t>ZWROTY PRZESYŁEK</w:t>
            </w:r>
          </w:p>
        </w:tc>
      </w:tr>
      <w:tr w:rsidR="00887846" w:rsidRPr="003E3AFC" w14:paraId="7A261ED7" w14:textId="77777777" w:rsidTr="00887846">
        <w:trPr>
          <w:trHeight w:val="488"/>
        </w:trPr>
        <w:tc>
          <w:tcPr>
            <w:tcW w:w="437" w:type="dxa"/>
            <w:tcBorders>
              <w:top w:val="single" w:sz="4" w:space="0" w:color="auto"/>
              <w:left w:val="single" w:sz="4" w:space="0" w:color="3F3F3F"/>
              <w:bottom w:val="single" w:sz="4" w:space="0" w:color="3F3F3F"/>
              <w:right w:val="single" w:sz="4" w:space="0" w:color="3F3F3F"/>
            </w:tcBorders>
            <w:shd w:val="clear" w:color="000000" w:fill="FFFFFF"/>
            <w:vAlign w:val="center"/>
            <w:hideMark/>
          </w:tcPr>
          <w:p w14:paraId="0CA5CA2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1</w:t>
            </w:r>
          </w:p>
        </w:tc>
        <w:tc>
          <w:tcPr>
            <w:tcW w:w="2798" w:type="dxa"/>
            <w:tcBorders>
              <w:top w:val="single" w:sz="4" w:space="0" w:color="auto"/>
              <w:left w:val="nil"/>
              <w:bottom w:val="single" w:sz="4" w:space="0" w:color="3F3F3F"/>
              <w:right w:val="single" w:sz="4" w:space="0" w:color="3F3F3F"/>
            </w:tcBorders>
            <w:shd w:val="clear" w:color="000000" w:fill="FFFFFF"/>
            <w:vAlign w:val="center"/>
            <w:hideMark/>
          </w:tcPr>
          <w:p w14:paraId="4F49AE9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S</w:t>
            </w:r>
          </w:p>
        </w:tc>
        <w:tc>
          <w:tcPr>
            <w:tcW w:w="1720" w:type="dxa"/>
            <w:tcBorders>
              <w:top w:val="single" w:sz="4" w:space="0" w:color="auto"/>
              <w:left w:val="nil"/>
              <w:bottom w:val="single" w:sz="4" w:space="0" w:color="3F3F3F"/>
              <w:right w:val="single" w:sz="4" w:space="0" w:color="3F3F3F"/>
            </w:tcBorders>
            <w:shd w:val="clear" w:color="000000" w:fill="FFFFFF"/>
            <w:noWrap/>
            <w:vAlign w:val="center"/>
            <w:hideMark/>
          </w:tcPr>
          <w:p w14:paraId="58BB779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single" w:sz="4" w:space="0" w:color="auto"/>
              <w:left w:val="nil"/>
              <w:bottom w:val="single" w:sz="4" w:space="0" w:color="3F3F3F"/>
              <w:right w:val="single" w:sz="4" w:space="0" w:color="3F3F3F"/>
            </w:tcBorders>
            <w:shd w:val="clear" w:color="000000" w:fill="FFFFFF"/>
            <w:noWrap/>
            <w:vAlign w:val="center"/>
            <w:hideMark/>
          </w:tcPr>
          <w:p w14:paraId="2AE810E2"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23DC81F3"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3F3F3F"/>
              <w:right w:val="single" w:sz="4" w:space="0" w:color="3F3F3F"/>
            </w:tcBorders>
            <w:shd w:val="clear" w:color="auto" w:fill="D9D9D9" w:themeFill="background1" w:themeFillShade="D9"/>
            <w:noWrap/>
            <w:vAlign w:val="bottom"/>
            <w:hideMark/>
          </w:tcPr>
          <w:p w14:paraId="5D72049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xml:space="preserve"> </w:t>
            </w:r>
          </w:p>
        </w:tc>
      </w:tr>
      <w:tr w:rsidR="00887846" w:rsidRPr="003E3AFC" w14:paraId="50355135" w14:textId="77777777" w:rsidTr="00887846">
        <w:trPr>
          <w:trHeight w:val="399"/>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237A1B17"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2</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1E6DF3E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7B33E299"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1089126D"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7594A96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6333AB0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xml:space="preserve"> </w:t>
            </w:r>
          </w:p>
        </w:tc>
      </w:tr>
      <w:tr w:rsidR="00887846" w:rsidRPr="003E3AFC" w14:paraId="67EA72A0" w14:textId="77777777" w:rsidTr="00887846">
        <w:trPr>
          <w:trHeight w:val="443"/>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28794F6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3</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50E7BA2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nierejestrowany format L</w:t>
            </w:r>
          </w:p>
        </w:tc>
        <w:tc>
          <w:tcPr>
            <w:tcW w:w="1720" w:type="dxa"/>
            <w:tcBorders>
              <w:top w:val="nil"/>
              <w:left w:val="nil"/>
              <w:bottom w:val="single" w:sz="4" w:space="0" w:color="3F3F3F"/>
              <w:right w:val="single" w:sz="4" w:space="0" w:color="3F3F3F"/>
            </w:tcBorders>
            <w:shd w:val="clear" w:color="000000" w:fill="FFFFFF"/>
            <w:noWrap/>
            <w:vAlign w:val="center"/>
            <w:hideMark/>
          </w:tcPr>
          <w:p w14:paraId="64DDF3B6"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31DB832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D42660C"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0751CB2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6A3DCEA2" w14:textId="77777777" w:rsidTr="00887846">
        <w:trPr>
          <w:trHeight w:val="399"/>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283C427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4</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2ACE76A5"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S</w:t>
            </w:r>
          </w:p>
        </w:tc>
        <w:tc>
          <w:tcPr>
            <w:tcW w:w="1720" w:type="dxa"/>
            <w:tcBorders>
              <w:top w:val="nil"/>
              <w:left w:val="nil"/>
              <w:bottom w:val="single" w:sz="4" w:space="0" w:color="3F3F3F"/>
              <w:right w:val="single" w:sz="4" w:space="0" w:color="3F3F3F"/>
            </w:tcBorders>
            <w:shd w:val="clear" w:color="000000" w:fill="FFFFFF"/>
            <w:noWrap/>
            <w:vAlign w:val="center"/>
            <w:hideMark/>
          </w:tcPr>
          <w:p w14:paraId="4DAA603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1C3B3598"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2683C07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277C6510"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xml:space="preserve"> </w:t>
            </w:r>
          </w:p>
        </w:tc>
      </w:tr>
      <w:tr w:rsidR="00887846" w:rsidRPr="003E3AFC" w14:paraId="22FBC905" w14:textId="77777777" w:rsidTr="00887846">
        <w:trPr>
          <w:trHeight w:val="458"/>
        </w:trPr>
        <w:tc>
          <w:tcPr>
            <w:tcW w:w="437" w:type="dxa"/>
            <w:tcBorders>
              <w:top w:val="nil"/>
              <w:left w:val="single" w:sz="4" w:space="0" w:color="3F3F3F"/>
              <w:bottom w:val="single" w:sz="4" w:space="0" w:color="3F3F3F"/>
              <w:right w:val="single" w:sz="4" w:space="0" w:color="3F3F3F"/>
            </w:tcBorders>
            <w:shd w:val="clear" w:color="000000" w:fill="FFFFFF"/>
            <w:vAlign w:val="center"/>
            <w:hideMark/>
          </w:tcPr>
          <w:p w14:paraId="602D030D"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5</w:t>
            </w:r>
          </w:p>
        </w:tc>
        <w:tc>
          <w:tcPr>
            <w:tcW w:w="2798" w:type="dxa"/>
            <w:tcBorders>
              <w:top w:val="single" w:sz="4" w:space="0" w:color="3F3F3F"/>
              <w:left w:val="nil"/>
              <w:bottom w:val="single" w:sz="4" w:space="0" w:color="3F3F3F"/>
              <w:right w:val="single" w:sz="4" w:space="0" w:color="3F3F3F"/>
            </w:tcBorders>
            <w:shd w:val="clear" w:color="000000" w:fill="FFFFFF"/>
            <w:vAlign w:val="center"/>
            <w:hideMark/>
          </w:tcPr>
          <w:p w14:paraId="39DB00A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M</w:t>
            </w:r>
          </w:p>
        </w:tc>
        <w:tc>
          <w:tcPr>
            <w:tcW w:w="1720" w:type="dxa"/>
            <w:tcBorders>
              <w:top w:val="nil"/>
              <w:left w:val="nil"/>
              <w:bottom w:val="single" w:sz="4" w:space="0" w:color="3F3F3F"/>
              <w:right w:val="single" w:sz="4" w:space="0" w:color="3F3F3F"/>
            </w:tcBorders>
            <w:shd w:val="clear" w:color="000000" w:fill="FFFFFF"/>
            <w:noWrap/>
            <w:vAlign w:val="center"/>
            <w:hideMark/>
          </w:tcPr>
          <w:p w14:paraId="21B42ACF"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500g do 1000g</w:t>
            </w:r>
          </w:p>
        </w:tc>
        <w:tc>
          <w:tcPr>
            <w:tcW w:w="1501" w:type="dxa"/>
            <w:tcBorders>
              <w:top w:val="nil"/>
              <w:left w:val="nil"/>
              <w:bottom w:val="single" w:sz="4" w:space="0" w:color="3F3F3F"/>
              <w:right w:val="single" w:sz="4" w:space="0" w:color="3F3F3F"/>
            </w:tcBorders>
            <w:shd w:val="clear" w:color="000000" w:fill="FFFFFF"/>
            <w:noWrap/>
            <w:vAlign w:val="center"/>
            <w:hideMark/>
          </w:tcPr>
          <w:p w14:paraId="17DB0684"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4895BC16"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14:paraId="335D726F"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xml:space="preserve">  </w:t>
            </w:r>
          </w:p>
        </w:tc>
      </w:tr>
      <w:tr w:rsidR="00887846" w:rsidRPr="003E3AFC" w14:paraId="115C158C" w14:textId="77777777" w:rsidTr="00887846">
        <w:trPr>
          <w:trHeight w:val="502"/>
        </w:trPr>
        <w:tc>
          <w:tcPr>
            <w:tcW w:w="437" w:type="dxa"/>
            <w:tcBorders>
              <w:top w:val="nil"/>
              <w:left w:val="single" w:sz="4" w:space="0" w:color="3F3F3F"/>
              <w:bottom w:val="single" w:sz="4" w:space="0" w:color="auto"/>
              <w:right w:val="single" w:sz="4" w:space="0" w:color="3F3F3F"/>
            </w:tcBorders>
            <w:shd w:val="clear" w:color="000000" w:fill="FFFFFF"/>
            <w:vAlign w:val="center"/>
            <w:hideMark/>
          </w:tcPr>
          <w:p w14:paraId="305B7D3D"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6</w:t>
            </w:r>
          </w:p>
        </w:tc>
        <w:tc>
          <w:tcPr>
            <w:tcW w:w="2798" w:type="dxa"/>
            <w:tcBorders>
              <w:top w:val="single" w:sz="4" w:space="0" w:color="3F3F3F"/>
              <w:left w:val="nil"/>
              <w:bottom w:val="single" w:sz="4" w:space="0" w:color="auto"/>
              <w:right w:val="single" w:sz="4" w:space="0" w:color="3F3F3F"/>
            </w:tcBorders>
            <w:shd w:val="clear" w:color="000000" w:fill="FFFFFF"/>
            <w:vAlign w:val="center"/>
            <w:hideMark/>
          </w:tcPr>
          <w:p w14:paraId="40E05E62"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 rejestrowany format L</w:t>
            </w:r>
          </w:p>
        </w:tc>
        <w:tc>
          <w:tcPr>
            <w:tcW w:w="1720" w:type="dxa"/>
            <w:tcBorders>
              <w:top w:val="nil"/>
              <w:left w:val="nil"/>
              <w:bottom w:val="single" w:sz="4" w:space="0" w:color="auto"/>
              <w:right w:val="single" w:sz="4" w:space="0" w:color="3F3F3F"/>
            </w:tcBorders>
            <w:shd w:val="clear" w:color="000000" w:fill="FFFFFF"/>
            <w:noWrap/>
            <w:vAlign w:val="center"/>
            <w:hideMark/>
          </w:tcPr>
          <w:p w14:paraId="7A91AB8B"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ponad 1000g do 2000g</w:t>
            </w:r>
          </w:p>
        </w:tc>
        <w:tc>
          <w:tcPr>
            <w:tcW w:w="1501" w:type="dxa"/>
            <w:tcBorders>
              <w:top w:val="nil"/>
              <w:left w:val="nil"/>
              <w:bottom w:val="single" w:sz="4" w:space="0" w:color="auto"/>
              <w:right w:val="single" w:sz="4" w:space="0" w:color="3F3F3F"/>
            </w:tcBorders>
            <w:shd w:val="clear" w:color="000000" w:fill="FFFFFF"/>
            <w:noWrap/>
            <w:vAlign w:val="center"/>
            <w:hideMark/>
          </w:tcPr>
          <w:p w14:paraId="416EDA73"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54BF376E"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3F3F3F"/>
              <w:left w:val="nil"/>
              <w:bottom w:val="single" w:sz="4" w:space="0" w:color="auto"/>
              <w:right w:val="single" w:sz="4" w:space="0" w:color="3F3F3F"/>
            </w:tcBorders>
            <w:shd w:val="clear" w:color="auto" w:fill="D9D9D9" w:themeFill="background1" w:themeFillShade="D9"/>
            <w:noWrap/>
            <w:vAlign w:val="bottom"/>
            <w:hideMark/>
          </w:tcPr>
          <w:p w14:paraId="46BE660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r w:rsidR="00887846" w:rsidRPr="003E3AFC" w14:paraId="5B077D4E" w14:textId="77777777" w:rsidTr="00887846">
        <w:trPr>
          <w:trHeight w:val="887"/>
        </w:trPr>
        <w:tc>
          <w:tcPr>
            <w:tcW w:w="437" w:type="dxa"/>
            <w:tcBorders>
              <w:top w:val="single" w:sz="4" w:space="0" w:color="auto"/>
              <w:left w:val="single" w:sz="4" w:space="0" w:color="auto"/>
              <w:bottom w:val="single" w:sz="4" w:space="0" w:color="auto"/>
              <w:right w:val="single" w:sz="4" w:space="0" w:color="3F3F3F"/>
            </w:tcBorders>
            <w:shd w:val="clear" w:color="000000" w:fill="FFFFFF"/>
            <w:vAlign w:val="center"/>
            <w:hideMark/>
          </w:tcPr>
          <w:p w14:paraId="14B365E4"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8</w:t>
            </w:r>
          </w:p>
        </w:tc>
        <w:tc>
          <w:tcPr>
            <w:tcW w:w="2798" w:type="dxa"/>
            <w:tcBorders>
              <w:top w:val="single" w:sz="4" w:space="0" w:color="auto"/>
              <w:left w:val="nil"/>
              <w:bottom w:val="single" w:sz="4" w:space="0" w:color="auto"/>
              <w:right w:val="single" w:sz="4" w:space="0" w:color="3F3F3F"/>
            </w:tcBorders>
            <w:shd w:val="clear" w:color="000000" w:fill="FFFFFF"/>
            <w:vAlign w:val="center"/>
            <w:hideMark/>
          </w:tcPr>
          <w:p w14:paraId="4158A0FD"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Listy zagraniczne rejestrowane - priorytetowe ze zwrotnym potwierdzeniem odbioru Europa</w:t>
            </w:r>
          </w:p>
        </w:tc>
        <w:tc>
          <w:tcPr>
            <w:tcW w:w="1720" w:type="dxa"/>
            <w:tcBorders>
              <w:top w:val="single" w:sz="4" w:space="0" w:color="auto"/>
              <w:left w:val="nil"/>
              <w:bottom w:val="single" w:sz="4" w:space="0" w:color="auto"/>
              <w:right w:val="single" w:sz="4" w:space="0" w:color="3F3F3F"/>
            </w:tcBorders>
            <w:shd w:val="clear" w:color="000000" w:fill="FFFFFF"/>
            <w:noWrap/>
            <w:vAlign w:val="center"/>
            <w:hideMark/>
          </w:tcPr>
          <w:p w14:paraId="0024D67E" w14:textId="77777777" w:rsidR="00887846" w:rsidRPr="003E3AFC" w:rsidRDefault="00887846" w:rsidP="00D81027">
            <w:pPr>
              <w:rPr>
                <w:rFonts w:ascii="Calibri" w:hAnsi="Calibri" w:cs="Calibri"/>
                <w:color w:val="3F3F3F"/>
                <w:lang w:eastAsia="pl-PL"/>
              </w:rPr>
            </w:pPr>
            <w:r w:rsidRPr="003E3AFC">
              <w:rPr>
                <w:rFonts w:ascii="Calibri" w:hAnsi="Calibri" w:cs="Calibri"/>
                <w:color w:val="3F3F3F"/>
                <w:lang w:eastAsia="pl-PL"/>
              </w:rPr>
              <w:t>do 50g</w:t>
            </w:r>
          </w:p>
        </w:tc>
        <w:tc>
          <w:tcPr>
            <w:tcW w:w="1501" w:type="dxa"/>
            <w:tcBorders>
              <w:top w:val="single" w:sz="4" w:space="0" w:color="auto"/>
              <w:left w:val="nil"/>
              <w:bottom w:val="single" w:sz="4" w:space="0" w:color="auto"/>
              <w:right w:val="single" w:sz="4" w:space="0" w:color="3F3F3F"/>
            </w:tcBorders>
            <w:shd w:val="clear" w:color="000000" w:fill="FFFFFF"/>
            <w:noWrap/>
            <w:vAlign w:val="center"/>
            <w:hideMark/>
          </w:tcPr>
          <w:p w14:paraId="20454551"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1</w:t>
            </w:r>
          </w:p>
        </w:tc>
        <w:tc>
          <w:tcPr>
            <w:tcW w:w="1501" w:type="dxa"/>
            <w:tcBorders>
              <w:top w:val="single" w:sz="4" w:space="0" w:color="auto"/>
              <w:left w:val="nil"/>
              <w:bottom w:val="single" w:sz="4" w:space="0" w:color="auto"/>
              <w:right w:val="single" w:sz="4" w:space="0" w:color="3F3F3F"/>
            </w:tcBorders>
            <w:shd w:val="clear" w:color="auto" w:fill="D9D9D9" w:themeFill="background1" w:themeFillShade="D9"/>
            <w:noWrap/>
            <w:vAlign w:val="bottom"/>
            <w:hideMark/>
          </w:tcPr>
          <w:p w14:paraId="1C80E7FB" w14:textId="77777777" w:rsidR="00887846" w:rsidRPr="003E3AFC" w:rsidRDefault="00887846" w:rsidP="00D81027">
            <w:pPr>
              <w:jc w:val="center"/>
              <w:rPr>
                <w:rFonts w:ascii="Calibri" w:hAnsi="Calibri" w:cs="Calibri"/>
                <w:b/>
                <w:bCs/>
                <w:color w:val="3F3F3F"/>
                <w:lang w:eastAsia="pl-PL"/>
              </w:rPr>
            </w:pPr>
            <w:r w:rsidRPr="003E3AFC">
              <w:rPr>
                <w:rFonts w:ascii="Calibri" w:hAnsi="Calibri" w:cs="Calibri"/>
                <w:b/>
                <w:bCs/>
                <w:color w:val="3F3F3F"/>
                <w:lang w:eastAsia="pl-PL"/>
              </w:rPr>
              <w:t> </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5048D9" w14:textId="77777777" w:rsidR="00887846" w:rsidRPr="003E3AFC" w:rsidRDefault="00887846" w:rsidP="00D81027">
            <w:pPr>
              <w:jc w:val="right"/>
              <w:rPr>
                <w:rFonts w:ascii="Calibri" w:hAnsi="Calibri" w:cs="Calibri"/>
                <w:color w:val="3F3F3F"/>
                <w:lang w:eastAsia="pl-PL"/>
              </w:rPr>
            </w:pPr>
            <w:r w:rsidRPr="003E3AFC">
              <w:rPr>
                <w:rFonts w:ascii="Calibri" w:hAnsi="Calibri" w:cs="Calibri"/>
                <w:color w:val="3F3F3F"/>
                <w:lang w:eastAsia="pl-PL"/>
              </w:rPr>
              <w:t> </w:t>
            </w:r>
          </w:p>
        </w:tc>
      </w:tr>
    </w:tbl>
    <w:p w14:paraId="1740927D" w14:textId="77777777" w:rsidR="00887846" w:rsidRPr="00887846" w:rsidRDefault="00887846" w:rsidP="00B33F8A">
      <w:pPr>
        <w:spacing w:line="360" w:lineRule="auto"/>
        <w:ind w:left="57" w:right="57"/>
        <w:rPr>
          <w:rFonts w:ascii="Arial" w:hAnsi="Arial" w:cs="Arial"/>
          <w:b/>
          <w:bCs/>
          <w:color w:val="000000"/>
          <w:sz w:val="20"/>
          <w:szCs w:val="20"/>
        </w:rPr>
      </w:pPr>
    </w:p>
    <w:p w14:paraId="68CE964D" w14:textId="77777777" w:rsidR="00A4055E" w:rsidRDefault="00A4055E" w:rsidP="00A4055E"/>
    <w:p w14:paraId="6EC0AB7F" w14:textId="0CA67476" w:rsidR="00A4055E" w:rsidRPr="00A4055E" w:rsidRDefault="00A4055E" w:rsidP="00A4055E">
      <w:pPr>
        <w:rPr>
          <w:b/>
          <w:bCs/>
          <w:sz w:val="20"/>
          <w:szCs w:val="18"/>
        </w:rPr>
      </w:pPr>
      <w:r w:rsidRPr="00A4055E">
        <w:rPr>
          <w:b/>
          <w:bCs/>
          <w:sz w:val="20"/>
          <w:szCs w:val="18"/>
        </w:rPr>
        <w:lastRenderedPageBreak/>
        <w:t>Przesyłki pocztowe, będące przedmiotem zamówienia rozumie się przesyłki listowe o wadze do 2 000 g. (Gabaryt S,M i L):</w:t>
      </w:r>
    </w:p>
    <w:p w14:paraId="70801308" w14:textId="77777777" w:rsidR="00A4055E" w:rsidRDefault="00A4055E" w:rsidP="00A4055E">
      <w:pPr>
        <w:rPr>
          <w:sz w:val="20"/>
          <w:szCs w:val="18"/>
        </w:rPr>
      </w:pPr>
    </w:p>
    <w:p w14:paraId="7C670952" w14:textId="77777777" w:rsidR="00A4055E" w:rsidRDefault="00A4055E" w:rsidP="00A4055E">
      <w:pPr>
        <w:rPr>
          <w:sz w:val="20"/>
          <w:szCs w:val="18"/>
        </w:rPr>
      </w:pPr>
      <w:r>
        <w:rPr>
          <w:b/>
          <w:sz w:val="20"/>
          <w:szCs w:val="18"/>
        </w:rPr>
        <w:t xml:space="preserve">Format S - </w:t>
      </w:r>
      <w:r>
        <w:rPr>
          <w:sz w:val="20"/>
          <w:szCs w:val="18"/>
        </w:rPr>
        <w:t>to przesyłka o wymiarach:</w:t>
      </w:r>
    </w:p>
    <w:p w14:paraId="17DD92E4" w14:textId="77777777" w:rsidR="00A4055E" w:rsidRDefault="00A4055E" w:rsidP="00A4055E">
      <w:pPr>
        <w:rPr>
          <w:sz w:val="20"/>
          <w:szCs w:val="18"/>
        </w:rPr>
      </w:pPr>
    </w:p>
    <w:p w14:paraId="2A58F14C" w14:textId="77777777" w:rsidR="00A4055E" w:rsidRDefault="00A4055E" w:rsidP="00A4055E">
      <w:pPr>
        <w:rPr>
          <w:sz w:val="20"/>
          <w:szCs w:val="18"/>
        </w:rPr>
      </w:pPr>
      <w:r>
        <w:rPr>
          <w:sz w:val="20"/>
          <w:szCs w:val="18"/>
        </w:rPr>
        <w:t>Minimum – wymiary strony adresowej nie mogą być mniejsze niż 90 x 140 mm,</w:t>
      </w:r>
    </w:p>
    <w:p w14:paraId="312DBA7D" w14:textId="77777777" w:rsidR="00A4055E" w:rsidRDefault="00A4055E" w:rsidP="00A4055E">
      <w:pPr>
        <w:rPr>
          <w:sz w:val="20"/>
          <w:szCs w:val="18"/>
        </w:rPr>
      </w:pPr>
    </w:p>
    <w:p w14:paraId="42582AFF" w14:textId="77777777" w:rsidR="00A4055E" w:rsidRDefault="00A4055E" w:rsidP="00A4055E">
      <w:pPr>
        <w:rPr>
          <w:sz w:val="20"/>
          <w:szCs w:val="18"/>
        </w:rPr>
      </w:pPr>
      <w:r>
        <w:rPr>
          <w:sz w:val="20"/>
          <w:szCs w:val="18"/>
        </w:rPr>
        <w:t>Maksimum – żaden z wymiarów nie może przekroczyć  wysokość 20 mm, długość 230 mm, szerokość 160 mm</w:t>
      </w:r>
    </w:p>
    <w:p w14:paraId="4B764D75" w14:textId="77777777" w:rsidR="00A4055E" w:rsidRDefault="00A4055E" w:rsidP="00A4055E">
      <w:pPr>
        <w:rPr>
          <w:sz w:val="20"/>
          <w:szCs w:val="18"/>
        </w:rPr>
      </w:pPr>
    </w:p>
    <w:p w14:paraId="14864CA9" w14:textId="77777777" w:rsidR="00A4055E" w:rsidRDefault="00A4055E" w:rsidP="00A4055E">
      <w:pPr>
        <w:rPr>
          <w:sz w:val="20"/>
          <w:szCs w:val="18"/>
        </w:rPr>
      </w:pPr>
      <w:r>
        <w:rPr>
          <w:b/>
          <w:sz w:val="20"/>
          <w:szCs w:val="18"/>
        </w:rPr>
        <w:t>Format M</w:t>
      </w:r>
      <w:r>
        <w:rPr>
          <w:sz w:val="20"/>
          <w:szCs w:val="18"/>
        </w:rPr>
        <w:t xml:space="preserve"> – to przesyłka o wymiarach:</w:t>
      </w:r>
    </w:p>
    <w:p w14:paraId="7F37A9FC" w14:textId="77777777" w:rsidR="00A4055E" w:rsidRDefault="00A4055E" w:rsidP="00A4055E">
      <w:pPr>
        <w:rPr>
          <w:sz w:val="20"/>
          <w:szCs w:val="18"/>
        </w:rPr>
      </w:pPr>
    </w:p>
    <w:p w14:paraId="15812A67" w14:textId="77777777" w:rsidR="00A4055E" w:rsidRDefault="00A4055E" w:rsidP="00A4055E">
      <w:pPr>
        <w:rPr>
          <w:sz w:val="20"/>
          <w:szCs w:val="18"/>
        </w:rPr>
      </w:pPr>
      <w:r>
        <w:rPr>
          <w:sz w:val="20"/>
          <w:szCs w:val="18"/>
        </w:rPr>
        <w:t>Minimum – wymiary strony adresowej nie mogą być mniejsze niż 90 x 140 mm</w:t>
      </w:r>
    </w:p>
    <w:p w14:paraId="17445CA8" w14:textId="77777777" w:rsidR="00A4055E" w:rsidRDefault="00A4055E" w:rsidP="00A4055E">
      <w:pPr>
        <w:rPr>
          <w:sz w:val="20"/>
          <w:szCs w:val="18"/>
        </w:rPr>
      </w:pPr>
    </w:p>
    <w:p w14:paraId="34A34517" w14:textId="77777777" w:rsidR="00A4055E" w:rsidRDefault="00A4055E" w:rsidP="00A4055E">
      <w:pPr>
        <w:rPr>
          <w:sz w:val="20"/>
          <w:szCs w:val="18"/>
        </w:rPr>
      </w:pPr>
      <w:r>
        <w:rPr>
          <w:sz w:val="20"/>
          <w:szCs w:val="18"/>
        </w:rPr>
        <w:t>Maksimum – żaden z wymiarów nie może przekroczyć  wysokość 20 mm, długość 325 mm, szerokość 230 mm</w:t>
      </w:r>
    </w:p>
    <w:p w14:paraId="769E55B3" w14:textId="77777777" w:rsidR="00A4055E" w:rsidRDefault="00A4055E" w:rsidP="00A4055E">
      <w:pPr>
        <w:rPr>
          <w:sz w:val="20"/>
          <w:szCs w:val="18"/>
        </w:rPr>
      </w:pPr>
    </w:p>
    <w:p w14:paraId="334AA5C5" w14:textId="77777777" w:rsidR="00A4055E" w:rsidRDefault="00A4055E" w:rsidP="00A4055E">
      <w:pPr>
        <w:rPr>
          <w:sz w:val="20"/>
          <w:szCs w:val="18"/>
        </w:rPr>
      </w:pPr>
      <w:r>
        <w:rPr>
          <w:b/>
          <w:sz w:val="20"/>
          <w:szCs w:val="18"/>
        </w:rPr>
        <w:t>Format L</w:t>
      </w:r>
      <w:r>
        <w:rPr>
          <w:sz w:val="20"/>
          <w:szCs w:val="18"/>
        </w:rPr>
        <w:t xml:space="preserve"> – to przesyłka o wymiarach:</w:t>
      </w:r>
    </w:p>
    <w:p w14:paraId="51C64637" w14:textId="77777777" w:rsidR="00A4055E" w:rsidRDefault="00A4055E" w:rsidP="00A4055E">
      <w:pPr>
        <w:rPr>
          <w:sz w:val="20"/>
          <w:szCs w:val="18"/>
        </w:rPr>
      </w:pPr>
    </w:p>
    <w:p w14:paraId="3E80890B" w14:textId="77777777" w:rsidR="00A4055E" w:rsidRDefault="00A4055E" w:rsidP="00A4055E">
      <w:pPr>
        <w:rPr>
          <w:sz w:val="20"/>
          <w:szCs w:val="18"/>
        </w:rPr>
      </w:pPr>
      <w:r>
        <w:rPr>
          <w:sz w:val="20"/>
          <w:szCs w:val="18"/>
        </w:rPr>
        <w:t>Minimum – wymiary strony adresowej nie mogą być mniejsze niż 90 x 140 mm</w:t>
      </w:r>
    </w:p>
    <w:p w14:paraId="64163566" w14:textId="77777777" w:rsidR="00A4055E" w:rsidRDefault="00A4055E" w:rsidP="00A4055E">
      <w:pPr>
        <w:rPr>
          <w:sz w:val="20"/>
          <w:szCs w:val="18"/>
        </w:rPr>
      </w:pPr>
    </w:p>
    <w:p w14:paraId="430B720E" w14:textId="77777777" w:rsidR="00A4055E" w:rsidRDefault="00A4055E" w:rsidP="00A4055E">
      <w:pPr>
        <w:rPr>
          <w:sz w:val="20"/>
          <w:szCs w:val="18"/>
        </w:rPr>
      </w:pPr>
      <w:r>
        <w:rPr>
          <w:sz w:val="20"/>
          <w:szCs w:val="18"/>
        </w:rPr>
        <w:t>Maksimum – suma długości, szerokości i wysokości nie może być większa niż 900 mm, przy czym największy z tych wymiarów (długość) nie może przekroczyć 600 mm.</w:t>
      </w:r>
    </w:p>
    <w:p w14:paraId="2923616C" w14:textId="77777777" w:rsidR="00A4055E" w:rsidRDefault="00A4055E" w:rsidP="00A4055E">
      <w:pPr>
        <w:rPr>
          <w:sz w:val="20"/>
          <w:szCs w:val="18"/>
        </w:rPr>
      </w:pPr>
    </w:p>
    <w:p w14:paraId="4D5D3A02" w14:textId="77777777" w:rsidR="00A4055E" w:rsidRDefault="00A4055E" w:rsidP="00A4055E">
      <w:pPr>
        <w:rPr>
          <w:sz w:val="20"/>
          <w:szCs w:val="18"/>
          <w:u w:val="single"/>
        </w:rPr>
      </w:pPr>
      <w:r>
        <w:rPr>
          <w:sz w:val="20"/>
          <w:szCs w:val="18"/>
          <w:u w:val="single"/>
        </w:rPr>
        <w:t>2. Paczki pocztowe, będące przedmiotem zamówienia rozumie się paczki pocztowe o wadze do 30 000 g (Gabaryt A i B):</w:t>
      </w:r>
    </w:p>
    <w:p w14:paraId="0C874D66" w14:textId="77777777" w:rsidR="00A4055E" w:rsidRDefault="00A4055E" w:rsidP="00A4055E">
      <w:pPr>
        <w:rPr>
          <w:sz w:val="20"/>
          <w:szCs w:val="18"/>
        </w:rPr>
      </w:pPr>
    </w:p>
    <w:p w14:paraId="3DB10065" w14:textId="77777777" w:rsidR="00A4055E" w:rsidRDefault="00A4055E" w:rsidP="00A4055E">
      <w:pPr>
        <w:rPr>
          <w:sz w:val="20"/>
          <w:szCs w:val="18"/>
        </w:rPr>
      </w:pPr>
      <w:r>
        <w:rPr>
          <w:b/>
          <w:sz w:val="20"/>
          <w:szCs w:val="18"/>
        </w:rPr>
        <w:t>Gabaryt A</w:t>
      </w:r>
      <w:r>
        <w:rPr>
          <w:sz w:val="20"/>
          <w:szCs w:val="18"/>
        </w:rPr>
        <w:t xml:space="preserve"> – to przesyłka o wymiarach:</w:t>
      </w:r>
    </w:p>
    <w:p w14:paraId="4A690153" w14:textId="77777777" w:rsidR="00A4055E" w:rsidRDefault="00A4055E" w:rsidP="00A4055E">
      <w:pPr>
        <w:rPr>
          <w:sz w:val="20"/>
          <w:szCs w:val="18"/>
        </w:rPr>
      </w:pPr>
    </w:p>
    <w:p w14:paraId="3964B6CD" w14:textId="77777777" w:rsidR="00A4055E" w:rsidRDefault="00A4055E" w:rsidP="00A4055E">
      <w:pPr>
        <w:rPr>
          <w:sz w:val="20"/>
          <w:szCs w:val="18"/>
        </w:rPr>
      </w:pPr>
      <w:r>
        <w:rPr>
          <w:sz w:val="20"/>
          <w:szCs w:val="18"/>
        </w:rPr>
        <w:t>Minimum – wymiary strony adresowej nie mogą być mniejsze niż 90 x 140 mm,</w:t>
      </w:r>
    </w:p>
    <w:p w14:paraId="67C5B4A8" w14:textId="77777777" w:rsidR="00A4055E" w:rsidRDefault="00A4055E" w:rsidP="00A4055E">
      <w:pPr>
        <w:rPr>
          <w:sz w:val="20"/>
          <w:szCs w:val="18"/>
        </w:rPr>
      </w:pPr>
    </w:p>
    <w:p w14:paraId="26B0773C" w14:textId="77777777" w:rsidR="00A4055E" w:rsidRDefault="00A4055E" w:rsidP="00A4055E">
      <w:pPr>
        <w:rPr>
          <w:sz w:val="20"/>
          <w:szCs w:val="18"/>
        </w:rPr>
      </w:pPr>
      <w:r>
        <w:rPr>
          <w:sz w:val="20"/>
          <w:szCs w:val="18"/>
        </w:rPr>
        <w:t>Maksimum – żaden z wymiarów nie może przekroczyć długości 600 mm lub szerokość 500 mm lub wysokość 300 mm.</w:t>
      </w:r>
    </w:p>
    <w:p w14:paraId="5ADB0958" w14:textId="77777777" w:rsidR="00A4055E" w:rsidRDefault="00A4055E" w:rsidP="00A4055E">
      <w:pPr>
        <w:rPr>
          <w:sz w:val="20"/>
          <w:szCs w:val="18"/>
        </w:rPr>
      </w:pPr>
    </w:p>
    <w:p w14:paraId="200258ED" w14:textId="77777777" w:rsidR="00A4055E" w:rsidRDefault="00A4055E" w:rsidP="00A4055E">
      <w:pPr>
        <w:rPr>
          <w:sz w:val="20"/>
          <w:szCs w:val="18"/>
        </w:rPr>
      </w:pPr>
      <w:r>
        <w:rPr>
          <w:b/>
          <w:sz w:val="20"/>
          <w:szCs w:val="18"/>
        </w:rPr>
        <w:t>Gabaryt B</w:t>
      </w:r>
      <w:r>
        <w:rPr>
          <w:sz w:val="20"/>
          <w:szCs w:val="18"/>
        </w:rPr>
        <w:t xml:space="preserve"> – to przesyłka o wymiarach:</w:t>
      </w:r>
    </w:p>
    <w:p w14:paraId="151A3B6A" w14:textId="77777777" w:rsidR="00A4055E" w:rsidRDefault="00A4055E" w:rsidP="00A4055E">
      <w:pPr>
        <w:rPr>
          <w:sz w:val="20"/>
          <w:szCs w:val="18"/>
        </w:rPr>
      </w:pPr>
    </w:p>
    <w:p w14:paraId="2A6617A4" w14:textId="77777777" w:rsidR="00A4055E" w:rsidRDefault="00A4055E" w:rsidP="00A4055E">
      <w:pPr>
        <w:rPr>
          <w:sz w:val="20"/>
          <w:szCs w:val="18"/>
        </w:rPr>
      </w:pPr>
      <w:r>
        <w:rPr>
          <w:sz w:val="20"/>
          <w:szCs w:val="18"/>
        </w:rPr>
        <w:t>Minimum – jeśli choć jeden z wymiarów przekracza długość 600 mm, wysokość 300 mm lub szerokość 500 mm,</w:t>
      </w:r>
    </w:p>
    <w:p w14:paraId="29A5C905" w14:textId="77777777" w:rsidR="00A4055E" w:rsidRDefault="00A4055E" w:rsidP="00A4055E">
      <w:pPr>
        <w:rPr>
          <w:sz w:val="20"/>
          <w:szCs w:val="18"/>
        </w:rPr>
      </w:pPr>
    </w:p>
    <w:p w14:paraId="122D0587" w14:textId="2E1889ED" w:rsidR="0009704F" w:rsidRDefault="00A4055E">
      <w:r>
        <w:rPr>
          <w:sz w:val="20"/>
          <w:szCs w:val="18"/>
        </w:rPr>
        <w:t>Maksimum – suma długości i największego obwodu w innym kierunku niż długość nie może być większa niż 3000 mm, przy czym największy wymiar nie może przekroczyć 1500</w:t>
      </w:r>
      <w:r>
        <w:rPr>
          <w:sz w:val="20"/>
          <w:szCs w:val="18"/>
        </w:rPr>
        <w:t xml:space="preserve"> mm.</w:t>
      </w:r>
    </w:p>
    <w:sectPr w:rsidR="00097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34"/>
    <w:multiLevelType w:val="multilevel"/>
    <w:tmpl w:val="0A027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C5063C"/>
    <w:multiLevelType w:val="multilevel"/>
    <w:tmpl w:val="5206444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45517C"/>
    <w:multiLevelType w:val="multilevel"/>
    <w:tmpl w:val="1C647BE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AE6188"/>
    <w:multiLevelType w:val="multilevel"/>
    <w:tmpl w:val="CFCC4E4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962AC2"/>
    <w:multiLevelType w:val="multilevel"/>
    <w:tmpl w:val="EB4C8BD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7A4A76"/>
    <w:multiLevelType w:val="multilevel"/>
    <w:tmpl w:val="AE4655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155BC3"/>
    <w:multiLevelType w:val="multilevel"/>
    <w:tmpl w:val="A650B84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1E3B0E"/>
    <w:multiLevelType w:val="multilevel"/>
    <w:tmpl w:val="DCE610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8E0A02"/>
    <w:multiLevelType w:val="multilevel"/>
    <w:tmpl w:val="F6A23E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2723895"/>
    <w:multiLevelType w:val="multilevel"/>
    <w:tmpl w:val="1C647BE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A61D4F"/>
    <w:multiLevelType w:val="multilevel"/>
    <w:tmpl w:val="2508FF2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3543532"/>
    <w:multiLevelType w:val="multilevel"/>
    <w:tmpl w:val="4E66EC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E14A85"/>
    <w:multiLevelType w:val="multilevel"/>
    <w:tmpl w:val="1C647BE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7"/>
  </w:num>
  <w:num w:numId="3">
    <w:abstractNumId w:val="5"/>
  </w:num>
  <w:num w:numId="4">
    <w:abstractNumId w:val="0"/>
  </w:num>
  <w:num w:numId="5">
    <w:abstractNumId w:val="11"/>
  </w:num>
  <w:num w:numId="6">
    <w:abstractNumId w:val="8"/>
  </w:num>
  <w:num w:numId="7">
    <w:abstractNumId w:val="3"/>
  </w:num>
  <w:num w:numId="8">
    <w:abstractNumId w:val="12"/>
  </w:num>
  <w:num w:numId="9">
    <w:abstractNumId w:val="9"/>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8A"/>
    <w:rsid w:val="0009704F"/>
    <w:rsid w:val="00887846"/>
    <w:rsid w:val="00A4055E"/>
    <w:rsid w:val="00B33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DE"/>
  <w15:chartTrackingRefBased/>
  <w15:docId w15:val="{2EB3CAC2-172C-40C1-B90A-2525617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F8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2304</Words>
  <Characters>13826</Characters>
  <Application>Microsoft Office Word</Application>
  <DocSecurity>0</DocSecurity>
  <Lines>115</Lines>
  <Paragraphs>32</Paragraphs>
  <ScaleCrop>false</ScaleCrop>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Janikowski</dc:creator>
  <cp:keywords/>
  <dc:description/>
  <cp:lastModifiedBy>Andrzej Janikowski</cp:lastModifiedBy>
  <cp:revision>3</cp:revision>
  <dcterms:created xsi:type="dcterms:W3CDTF">2021-11-08T08:18:00Z</dcterms:created>
  <dcterms:modified xsi:type="dcterms:W3CDTF">2021-11-08T10:41:00Z</dcterms:modified>
</cp:coreProperties>
</file>