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1ED5F0BA" w14:textId="4E376337" w:rsidR="00454182" w:rsidRPr="001F672D" w:rsidRDefault="001F672D" w:rsidP="00021799">
            <w:pPr>
              <w:spacing w:after="0"/>
              <w:outlineLvl w:val="5"/>
              <w:rPr>
                <w:rFonts w:ascii="Verdana" w:eastAsia="Times New Roman" w:hAnsi="Verdana" w:cs="Tahoma"/>
                <w:color w:val="auto"/>
                <w:szCs w:val="20"/>
              </w:rPr>
            </w:pPr>
            <w:r w:rsidRPr="001F672D">
              <w:rPr>
                <w:rFonts w:ascii="Verdana" w:eastAsia="Times New Roman" w:hAnsi="Verdana" w:cs="Tahoma"/>
                <w:color w:val="000000"/>
                <w:szCs w:val="20"/>
              </w:rPr>
              <w:t>SPZP.271.2.2024</w:t>
            </w: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7BA416ED"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0A0656">
        <w:rPr>
          <w:rFonts w:ascii="Verdana" w:eastAsia="Verdana" w:hAnsi="Verdana" w:cs="Times New Roman"/>
          <w:b/>
          <w:color w:val="000000"/>
        </w:rPr>
        <w:t>materiałów zużywalnych do biologii komórki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210FE483"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0A0656">
        <w:rPr>
          <w:rFonts w:ascii="Verdana" w:hAnsi="Verdana" w:cs="Tahoma"/>
          <w:color w:val="auto"/>
        </w:rPr>
        <w:t>materiałów zużywalnych</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0A0656">
        <w:rPr>
          <w:rFonts w:ascii="Verdana" w:hAnsi="Verdana" w:cs="Tahoma"/>
          <w:color w:val="auto"/>
        </w:rPr>
        <w:t>do dnia 31.12.2024 r.</w:t>
      </w:r>
      <w:r w:rsidR="00E47EE0"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553DF4EB"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0A0656">
        <w:rPr>
          <w:rFonts w:ascii="Verdana" w:hAnsi="Verdana" w:cs="Tahoma"/>
          <w:color w:val="auto"/>
          <w:szCs w:val="20"/>
        </w:rPr>
        <w:lastRenderedPageBreak/>
        <w:t xml:space="preserve">materiałów zużywalnych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76C4D3DF"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w:t>
      </w:r>
      <w:r w:rsidR="000A0656">
        <w:rPr>
          <w:rFonts w:ascii="Verdana" w:hAnsi="Verdana" w:cs="Tahoma"/>
          <w:color w:val="auto"/>
        </w:rPr>
        <w:t>do 31.12.2024</w:t>
      </w:r>
      <w:r w:rsidRPr="39548CC5">
        <w:rPr>
          <w:rFonts w:ascii="Verdana" w:hAnsi="Verdana" w:cs="Tahoma"/>
          <w:color w:val="auto"/>
        </w:rPr>
        <w:t xml:space="preserve">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lastRenderedPageBreak/>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w:t>
      </w:r>
      <w:r w:rsidRPr="00883E61">
        <w:rPr>
          <w:rFonts w:ascii="Verdana" w:hAnsi="Verdana" w:cs="Tahoma"/>
          <w:color w:val="auto"/>
          <w:szCs w:val="20"/>
        </w:rPr>
        <w:lastRenderedPageBreak/>
        <w:t xml:space="preserve">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lastRenderedPageBreak/>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w:t>
      </w:r>
      <w:r w:rsidRPr="05C9251F">
        <w:rPr>
          <w:rFonts w:ascii="Verdana" w:hAnsi="Verdana" w:cs="Tahoma"/>
          <w:color w:val="auto"/>
        </w:rPr>
        <w:lastRenderedPageBreak/>
        <w:t xml:space="preserve">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Reklamowane Materiały nieodpowiadające wymogom jakościowym </w:t>
      </w:r>
      <w:r w:rsidRPr="00883E61">
        <w:rPr>
          <w:rFonts w:ascii="Verdana" w:hAnsi="Verdana" w:cs="Tahoma"/>
          <w:bCs/>
          <w:color w:val="auto"/>
          <w:sz w:val="20"/>
          <w:szCs w:val="20"/>
        </w:rPr>
        <w:lastRenderedPageBreak/>
        <w:t>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 xml:space="preserve">Do składania ustrukturyzowanych faktur elektronicznych stosuje się przepisy ustawy z dnia 09.11.2018 r. o elektronicznym fakturowaniu w zamówieniach publicznych, koncesjach na roboty budowlane lub usługi oraz partnerstwie </w:t>
      </w:r>
      <w:r w:rsidRPr="2D1058EE">
        <w:rPr>
          <w:rFonts w:ascii="Verdana" w:eastAsiaTheme="minorEastAsia" w:hAnsi="Verdana"/>
          <w:color w:val="auto"/>
          <w:lang w:eastAsia="pl-PL"/>
        </w:rPr>
        <w:lastRenderedPageBreak/>
        <w:t>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xml:space="preserve">% ceny netto za dane Zamówienie, </w:t>
      </w:r>
      <w:r w:rsidRPr="00883E61">
        <w:rPr>
          <w:rFonts w:ascii="Verdana" w:eastAsia="Times New Roman" w:hAnsi="Verdana" w:cs="Tahoma"/>
          <w:color w:val="auto"/>
          <w:szCs w:val="20"/>
          <w:lang w:eastAsia="pl-PL"/>
        </w:rPr>
        <w:lastRenderedPageBreak/>
        <w:t>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lastRenderedPageBreak/>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lastRenderedPageBreak/>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szczególności Strony niniejszej Umowy zgodnie uznają, bez uszczerbku dla powszechnie obowiązujących przepisów prawa, że mimo ogłoszenia na obszarze Rzeczypospolitej Polskiej stanu zagrożenia epidemicznego w związku </w:t>
      </w:r>
      <w:r w:rsidRPr="00883E61">
        <w:rPr>
          <w:rFonts w:ascii="Verdana" w:hAnsi="Verdana" w:cs="Tahoma"/>
          <w:color w:val="auto"/>
          <w:szCs w:val="20"/>
        </w:rPr>
        <w:lastRenderedPageBreak/>
        <w:t>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6DE0A42E" w14:textId="77777777" w:rsidR="00C84925" w:rsidRDefault="00C84925" w:rsidP="00FF2423">
      <w:r>
        <w:t>Projektu pn. „Nowe czynniki regulujące punkty kontrolne cyklu komórkowego w odpowiedzi na uszkodzenia w DNA”,   finansowanego ze środków Narodowego Centrum Nauki na podstawie decyzji DEC-2021/41/B/NZ1/03750</w:t>
      </w:r>
    </w:p>
    <w:p w14:paraId="55812EF7" w14:textId="6D263588"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00CCFE0E" w:rsidR="006C5337" w:rsidRPr="006C5337" w:rsidRDefault="006C5337" w:rsidP="000A0656">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ascii="Verdana" w:eastAsia="Verdana" w:hAnsi="Verdana" w:cs="Times New Roman"/>
            <w:bCs/>
            <w:color w:val="00000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A0656" w:rsidRPr="000A0656">
            <w:rPr>
              <w:rFonts w:ascii="Verdana" w:eastAsia="Verdana" w:hAnsi="Verdana" w:cs="Times New Roman"/>
              <w:bCs/>
              <w:color w:val="000000"/>
            </w:rPr>
            <w:t>Dostaw</w:t>
          </w:r>
          <w:r w:rsidR="000A0656">
            <w:rPr>
              <w:rFonts w:ascii="Verdana" w:eastAsia="Verdana" w:hAnsi="Verdana" w:cs="Times New Roman"/>
              <w:bCs/>
              <w:color w:val="000000"/>
            </w:rPr>
            <w:t>ę</w:t>
          </w:r>
          <w:r w:rsidR="000A0656" w:rsidRPr="000A0656">
            <w:rPr>
              <w:rFonts w:ascii="Verdana" w:eastAsia="Verdana" w:hAnsi="Verdana" w:cs="Times New Roman"/>
              <w:bCs/>
              <w:color w:val="000000"/>
            </w:rPr>
            <w:t xml:space="preserve"> materiałów zużywalnych do biologii komórki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39BA1453" w:rsidR="008B4B19" w:rsidRPr="008B4B19" w:rsidRDefault="000A0656" w:rsidP="008B4B19">
      <w:pPr>
        <w:spacing w:after="120" w:line="276" w:lineRule="auto"/>
        <w:ind w:left="567"/>
        <w:contextualSpacing/>
        <w:jc w:val="center"/>
        <w:rPr>
          <w:rFonts w:asciiTheme="majorHAnsi" w:eastAsia="Verdana" w:hAnsiTheme="majorHAnsi" w:cs="Times New Roman"/>
          <w:b/>
          <w:color w:val="000000"/>
          <w:sz w:val="16"/>
          <w:szCs w:val="16"/>
        </w:rPr>
      </w:pPr>
      <w:r w:rsidRPr="000A0656">
        <w:rPr>
          <w:rFonts w:ascii="Verdana" w:eastAsia="Verdana" w:hAnsi="Verdana" w:cs="Times New Roman"/>
          <w:bCs/>
          <w:color w:val="000000"/>
        </w:rPr>
        <w:t>Dostawa materiałów zużywalnych do biologii komórki 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sidR="001F672D" w:rsidRPr="001F672D">
        <w:rPr>
          <w:rFonts w:asciiTheme="majorHAnsi" w:eastAsia="Verdana" w:hAnsiTheme="majorHAnsi" w:cs="Times New Roman"/>
          <w:bCs/>
          <w:color w:val="000000"/>
          <w:sz w:val="16"/>
          <w:szCs w:val="16"/>
        </w:rPr>
        <w:t>SPZP.271.2.2024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w:t>
            </w:r>
            <w:r w:rsidRPr="008B4B19">
              <w:rPr>
                <w:rFonts w:asciiTheme="majorHAnsi" w:eastAsia="Verdana" w:hAnsiTheme="majorHAnsi" w:cs="Times New Roman"/>
                <w:color w:val="000000"/>
                <w:sz w:val="16"/>
                <w:szCs w:val="16"/>
              </w:rPr>
              <w:lastRenderedPageBreak/>
              <w:t>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w:t>
            </w:r>
            <w:r w:rsidRPr="008B4B19">
              <w:rPr>
                <w:rFonts w:asciiTheme="majorHAnsi" w:eastAsia="Verdana" w:hAnsiTheme="majorHAnsi" w:cs="Times New Roman"/>
                <w:color w:val="000000"/>
                <w:sz w:val="16"/>
                <w:szCs w:val="16"/>
              </w:rPr>
              <w:lastRenderedPageBreak/>
              <w:t xml:space="preserve">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 w zw. z art. </w:t>
            </w:r>
            <w:r w:rsidRPr="008B4B19">
              <w:rPr>
                <w:rFonts w:asciiTheme="majorHAnsi" w:eastAsia="Verdana" w:hAnsiTheme="majorHAnsi" w:cs="Times New Roman"/>
                <w:color w:val="000000"/>
                <w:sz w:val="16"/>
                <w:szCs w:val="16"/>
              </w:rPr>
              <w:lastRenderedPageBreak/>
              <w:t>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w:t>
            </w:r>
            <w:r w:rsidRPr="008B4B19">
              <w:rPr>
                <w:rFonts w:asciiTheme="majorHAnsi" w:eastAsia="Verdana" w:hAnsiTheme="majorHAnsi" w:cs="Times New Roman"/>
                <w:color w:val="000000"/>
                <w:sz w:val="16"/>
                <w:szCs w:val="16"/>
              </w:rPr>
              <w:lastRenderedPageBreak/>
              <w:t>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w:t>
            </w:r>
            <w:r w:rsidRPr="008B4B19">
              <w:rPr>
                <w:rFonts w:asciiTheme="majorHAnsi" w:eastAsia="Verdana" w:hAnsiTheme="majorHAnsi" w:cs="Times New Roman"/>
                <w:color w:val="000000"/>
                <w:sz w:val="16"/>
                <w:szCs w:val="16"/>
              </w:rPr>
              <w:lastRenderedPageBreak/>
              <w:t>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w:t>
            </w:r>
            <w:r w:rsidRPr="008B4B19">
              <w:rPr>
                <w:rFonts w:asciiTheme="majorHAnsi" w:eastAsia="Verdana" w:hAnsiTheme="majorHAnsi" w:cs="Times New Roman"/>
                <w:color w:val="000000"/>
                <w:sz w:val="16"/>
                <w:szCs w:val="16"/>
              </w:rPr>
              <w:lastRenderedPageBreak/>
              <w:t>zamówień publicznych, konkretnie wskazanego w dokumentacji, do której załączona jest niniejsza klauzula informacyjna</w:t>
            </w:r>
          </w:p>
        </w:tc>
        <w:tc>
          <w:tcPr>
            <w:tcW w:w="827" w:type="pct"/>
          </w:tcPr>
          <w:p w14:paraId="1EB5543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t>
            </w:r>
            <w:r w:rsidRPr="008B4B19">
              <w:rPr>
                <w:rFonts w:asciiTheme="majorHAnsi" w:eastAsia="Verdana" w:hAnsiTheme="majorHAnsi" w:cs="Times New Roman"/>
                <w:color w:val="000000"/>
                <w:sz w:val="16"/>
                <w:szCs w:val="16"/>
              </w:rPr>
              <w:lastRenderedPageBreak/>
              <w:t xml:space="preserve">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Umowie i realizujących Umowę w imieniu </w:t>
            </w:r>
            <w:r w:rsidRPr="008B4B19">
              <w:rPr>
                <w:rFonts w:asciiTheme="majorHAnsi" w:eastAsia="Verdana" w:hAnsiTheme="majorHAnsi" w:cs="Times New Roman"/>
                <w:color w:val="000000"/>
                <w:sz w:val="16"/>
                <w:szCs w:val="16"/>
              </w:rPr>
              <w:lastRenderedPageBreak/>
              <w:t>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t>
            </w:r>
            <w:r w:rsidRPr="008B4B19">
              <w:rPr>
                <w:rFonts w:asciiTheme="majorHAnsi" w:eastAsia="Verdana" w:hAnsiTheme="majorHAnsi" w:cs="Times New Roman"/>
                <w:color w:val="000000"/>
                <w:sz w:val="16"/>
                <w:szCs w:val="16"/>
              </w:rPr>
              <w:lastRenderedPageBreak/>
              <w:t>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Microsoft 365 oraz zobowiązania w odniesieniu do przetwarzania i zabezpieczania danych </w:t>
      </w:r>
      <w:r w:rsidRPr="008B4B19">
        <w:rPr>
          <w:rFonts w:asciiTheme="majorHAnsi" w:hAnsiTheme="majorHAnsi"/>
          <w:color w:val="000000"/>
          <w:sz w:val="16"/>
          <w:szCs w:val="16"/>
        </w:rPr>
        <w:lastRenderedPageBreak/>
        <w:t>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34B10C24" w:rsidR="00BC1FCE" w:rsidRDefault="000A0656">
    <w:pPr>
      <w:pStyle w:val="Stopka"/>
    </w:pPr>
    <w:r>
      <w:rPr>
        <w:noProof/>
      </w:rPr>
      <w:drawing>
        <wp:inline distT="0" distB="0" distL="0" distR="0" wp14:anchorId="072B893D" wp14:editId="2C3C9991">
          <wp:extent cx="5181600" cy="228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3C79A585" w14:textId="4198B4BB" w:rsidR="00DC3524" w:rsidRDefault="001F672D">
            <w:pPr>
              <w:pStyle w:val="Stopka"/>
            </w:pPr>
            <w:r>
              <w:rPr>
                <w:noProof/>
              </w:rPr>
              <w:drawing>
                <wp:inline distT="0" distB="0" distL="0" distR="0" wp14:anchorId="1A5A3863" wp14:editId="1231E843">
                  <wp:extent cx="5181600" cy="228600"/>
                  <wp:effectExtent l="0" t="0" r="0" b="0"/>
                  <wp:docPr id="1800507273" name="Obraz 1800507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3FCC4CA3" w:rsidR="006C5337" w:rsidRDefault="001F672D">
            <w:pPr>
              <w:pStyle w:val="Stopka"/>
              <w:rPr>
                <w:b w:val="0"/>
                <w:bCs/>
              </w:rPr>
            </w:pPr>
            <w:r>
              <w:rPr>
                <w:noProof/>
              </w:rPr>
              <w:drawing>
                <wp:inline distT="0" distB="0" distL="0" distR="0" wp14:anchorId="1BA4D1F9" wp14:editId="1D17FF3F">
                  <wp:extent cx="5181600" cy="228600"/>
                  <wp:effectExtent l="0" t="0" r="0" b="0"/>
                  <wp:docPr id="885686984" name="Obraz 88568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C84925">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A0656"/>
    <w:rsid w:val="000D57ED"/>
    <w:rsid w:val="000E595C"/>
    <w:rsid w:val="0010183B"/>
    <w:rsid w:val="00134929"/>
    <w:rsid w:val="00161ECE"/>
    <w:rsid w:val="00170C56"/>
    <w:rsid w:val="001A0BD2"/>
    <w:rsid w:val="001B02E2"/>
    <w:rsid w:val="001F672D"/>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84925"/>
    <w:rsid w:val="00C906A1"/>
    <w:rsid w:val="00C97E75"/>
    <w:rsid w:val="00CD4424"/>
    <w:rsid w:val="00D005B3"/>
    <w:rsid w:val="00D046E4"/>
    <w:rsid w:val="00D06D36"/>
    <w:rsid w:val="00D25E3D"/>
    <w:rsid w:val="00D40690"/>
    <w:rsid w:val="00D927C7"/>
    <w:rsid w:val="00DA52A1"/>
    <w:rsid w:val="00DA6873"/>
    <w:rsid w:val="00DC3524"/>
    <w:rsid w:val="00E47EE0"/>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34</TotalTime>
  <Pages>25</Pages>
  <Words>8705</Words>
  <Characters>52231</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materiałów zużywalnych do biologii komórki na podstawie umowy ramowej</dc:subject>
  <dc:creator>Katarzyna Wolynska</dc:creator>
  <cp:keywords/>
  <dc:description/>
  <cp:lastModifiedBy>Joanna Oczkowicz | Łukasiewicz – PORT</cp:lastModifiedBy>
  <cp:revision>19</cp:revision>
  <cp:lastPrinted>2020-02-07T19:43:00Z</cp:lastPrinted>
  <dcterms:created xsi:type="dcterms:W3CDTF">2023-06-21T08:51:00Z</dcterms:created>
  <dcterms:modified xsi:type="dcterms:W3CDTF">2024-02-14T14:12:00Z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