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BC5A" w14:textId="03D0CBDA" w:rsidR="00203EA1" w:rsidRPr="001B2B2A" w:rsidRDefault="00000000" w:rsidP="001B2B2A">
      <w:pPr>
        <w:spacing w:after="12" w:line="360" w:lineRule="auto"/>
        <w:ind w:left="117" w:right="0" w:hanging="10"/>
        <w:jc w:val="right"/>
        <w:rPr>
          <w:rFonts w:ascii="Calibri" w:hAnsi="Calibri" w:cs="Calibri"/>
          <w:sz w:val="20"/>
          <w:szCs w:val="20"/>
        </w:rPr>
      </w:pPr>
      <w:r w:rsidRPr="001B2B2A">
        <w:rPr>
          <w:rFonts w:ascii="Calibri" w:hAnsi="Calibri" w:cs="Calibri"/>
          <w:b/>
          <w:sz w:val="20"/>
          <w:szCs w:val="20"/>
        </w:rPr>
        <w:t>załącznik nr 2.</w:t>
      </w:r>
      <w:r w:rsidR="001B2B2A" w:rsidRPr="001B2B2A">
        <w:rPr>
          <w:rFonts w:ascii="Calibri" w:hAnsi="Calibri" w:cs="Calibri"/>
          <w:b/>
          <w:sz w:val="20"/>
          <w:szCs w:val="20"/>
        </w:rPr>
        <w:t xml:space="preserve">2 </w:t>
      </w:r>
      <w:r w:rsidRPr="001B2B2A">
        <w:rPr>
          <w:rFonts w:ascii="Calibri" w:hAnsi="Calibri" w:cs="Calibri"/>
          <w:b/>
          <w:sz w:val="20"/>
          <w:szCs w:val="20"/>
        </w:rPr>
        <w:t xml:space="preserve"> do SWZ</w:t>
      </w:r>
    </w:p>
    <w:p w14:paraId="5C3C91F9" w14:textId="77777777" w:rsidR="00203EA1" w:rsidRPr="001B2B2A" w:rsidRDefault="00203EA1" w:rsidP="001B2B2A">
      <w:pPr>
        <w:spacing w:after="12" w:line="360" w:lineRule="auto"/>
        <w:ind w:left="117" w:right="0" w:hanging="10"/>
        <w:jc w:val="left"/>
        <w:rPr>
          <w:rFonts w:ascii="Calibri" w:hAnsi="Calibri" w:cs="Calibri"/>
          <w:b/>
          <w:sz w:val="20"/>
          <w:szCs w:val="20"/>
        </w:rPr>
      </w:pPr>
    </w:p>
    <w:p w14:paraId="1AB8F006" w14:textId="77777777" w:rsidR="00203EA1" w:rsidRPr="001B2B2A" w:rsidRDefault="00000000" w:rsidP="001B2B2A">
      <w:pPr>
        <w:spacing w:after="12" w:line="360" w:lineRule="auto"/>
        <w:ind w:left="117" w:right="0" w:hanging="10"/>
        <w:jc w:val="center"/>
        <w:rPr>
          <w:rFonts w:ascii="Calibri" w:hAnsi="Calibri" w:cs="Calibri"/>
          <w:sz w:val="20"/>
          <w:szCs w:val="20"/>
        </w:rPr>
      </w:pPr>
      <w:r w:rsidRPr="001B2B2A">
        <w:rPr>
          <w:rFonts w:ascii="Calibri" w:hAnsi="Calibri" w:cs="Calibri"/>
          <w:b/>
          <w:sz w:val="20"/>
          <w:szCs w:val="20"/>
        </w:rPr>
        <w:t>OPIS PRZEDMIOTU ZAMÓWIENIA - PAKIET 2</w:t>
      </w:r>
    </w:p>
    <w:p w14:paraId="43DCE59B" w14:textId="77777777" w:rsidR="00203EA1" w:rsidRPr="001B2B2A" w:rsidRDefault="00203EA1" w:rsidP="001B2B2A">
      <w:pPr>
        <w:spacing w:after="0" w:line="360" w:lineRule="auto"/>
        <w:ind w:left="83" w:right="0" w:firstLine="0"/>
        <w:jc w:val="center"/>
        <w:rPr>
          <w:rFonts w:ascii="Calibri" w:hAnsi="Calibri" w:cs="Calibri"/>
          <w:sz w:val="20"/>
          <w:szCs w:val="20"/>
        </w:rPr>
      </w:pPr>
    </w:p>
    <w:p w14:paraId="0C613378" w14:textId="77777777" w:rsidR="00203EA1" w:rsidRPr="001B2B2A" w:rsidRDefault="00000000" w:rsidP="001B2B2A">
      <w:pPr>
        <w:spacing w:after="0" w:line="360" w:lineRule="auto"/>
        <w:ind w:left="122" w:right="0" w:firstLine="0"/>
        <w:rPr>
          <w:rFonts w:ascii="Calibri" w:hAnsi="Calibri" w:cs="Calibri"/>
          <w:sz w:val="20"/>
          <w:szCs w:val="20"/>
        </w:rPr>
      </w:pPr>
      <w:r w:rsidRPr="001B2B2A">
        <w:rPr>
          <w:rFonts w:ascii="Calibri" w:hAnsi="Calibri" w:cs="Calibri"/>
          <w:color w:val="00000A"/>
          <w:sz w:val="20"/>
          <w:szCs w:val="20"/>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08003300" w14:textId="77777777" w:rsidR="00203EA1" w:rsidRPr="001B2B2A" w:rsidRDefault="00000000" w:rsidP="001B2B2A">
      <w:pPr>
        <w:spacing w:after="16" w:line="360" w:lineRule="auto"/>
        <w:ind w:left="0" w:right="32" w:firstLine="122"/>
        <w:rPr>
          <w:rFonts w:ascii="Calibri" w:hAnsi="Calibri" w:cs="Calibri"/>
          <w:sz w:val="20"/>
          <w:szCs w:val="20"/>
        </w:rPr>
      </w:pPr>
      <w:r w:rsidRPr="001B2B2A">
        <w:rPr>
          <w:rFonts w:ascii="Calibri" w:hAnsi="Calibri" w:cs="Calibri"/>
          <w:color w:val="00000A"/>
          <w:sz w:val="20"/>
          <w:szCs w:val="20"/>
        </w:rPr>
        <w:t xml:space="preserve">Strony ustalają następujące definicje: </w:t>
      </w:r>
    </w:p>
    <w:p w14:paraId="0AB14784" w14:textId="77777777" w:rsidR="00203EA1" w:rsidRPr="001B2B2A" w:rsidRDefault="00000000" w:rsidP="001B2B2A">
      <w:pPr>
        <w:pStyle w:val="Akapitzlist"/>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Zamawiający</w:t>
      </w:r>
      <w:r w:rsidRPr="001B2B2A">
        <w:rPr>
          <w:rFonts w:ascii="Calibri" w:hAnsi="Calibri" w:cs="Calibri"/>
          <w:color w:val="00000A"/>
          <w:sz w:val="20"/>
          <w:szCs w:val="20"/>
        </w:rPr>
        <w:t xml:space="preserve"> – </w:t>
      </w:r>
      <w:r w:rsidRPr="001B2B2A">
        <w:rPr>
          <w:rFonts w:ascii="Calibri" w:hAnsi="Calibri" w:cs="Calibri"/>
          <w:color w:val="auto"/>
          <w:sz w:val="20"/>
          <w:szCs w:val="20"/>
        </w:rPr>
        <w:t>oznacza</w:t>
      </w:r>
      <w:r w:rsidRPr="001B2B2A">
        <w:rPr>
          <w:rFonts w:ascii="Calibri" w:hAnsi="Calibri" w:cs="Calibri"/>
          <w:b/>
          <w:color w:val="auto"/>
          <w:sz w:val="20"/>
          <w:szCs w:val="20"/>
        </w:rPr>
        <w:t xml:space="preserve"> </w:t>
      </w:r>
      <w:r w:rsidRPr="001B2B2A">
        <w:rPr>
          <w:rFonts w:ascii="Calibri" w:hAnsi="Calibri" w:cs="Calibri"/>
          <w:color w:val="auto"/>
          <w:sz w:val="20"/>
          <w:szCs w:val="20"/>
        </w:rPr>
        <w:t>SAMODZIELNY PUBLICZNY ZAKŁAD OPIEKI ZDROWOTNEJ SZPITAL POWIATOWY W PISZU</w:t>
      </w:r>
    </w:p>
    <w:p w14:paraId="4E11557D" w14:textId="11E32368"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Wykonawca </w:t>
      </w:r>
      <w:r w:rsidRPr="001B2B2A">
        <w:rPr>
          <w:rFonts w:ascii="Calibri" w:hAnsi="Calibri" w:cs="Calibri"/>
          <w:color w:val="00000A"/>
          <w:sz w:val="20"/>
          <w:szCs w:val="20"/>
        </w:rPr>
        <w:t xml:space="preserve">- podmiot, który ubiega się o udzielenie zamówienia, złożył ofertę albo zawarł umowę </w:t>
      </w:r>
      <w:r w:rsidRPr="001B2B2A">
        <w:rPr>
          <w:rFonts w:ascii="Calibri" w:hAnsi="Calibri" w:cs="Calibri"/>
          <w:color w:val="00000A"/>
          <w:sz w:val="20"/>
          <w:szCs w:val="20"/>
        </w:rPr>
        <w:br/>
        <w:t>w postępowaniu o udzielenie zamówienia publicznego prowadzonego w trybie podstawowym bez prowadzenia negocjacji na podstawie art. 275 pkt 1 Ustawy z dnia 11 września 2019 r. – Prawo zamówień publicznych (Dz. U.</w:t>
      </w:r>
      <w:r w:rsidR="00DA3D05">
        <w:rPr>
          <w:rFonts w:ascii="Calibri" w:hAnsi="Calibri" w:cs="Calibri"/>
          <w:color w:val="00000A"/>
          <w:sz w:val="20"/>
          <w:szCs w:val="20"/>
        </w:rPr>
        <w:t xml:space="preserve"> z 2022 r.</w:t>
      </w:r>
      <w:r w:rsidRPr="001B2B2A">
        <w:rPr>
          <w:rFonts w:ascii="Calibri" w:hAnsi="Calibri" w:cs="Calibri"/>
          <w:color w:val="00000A"/>
          <w:sz w:val="20"/>
          <w:szCs w:val="20"/>
        </w:rPr>
        <w:t xml:space="preserve"> poz.</w:t>
      </w:r>
      <w:r w:rsidR="00DA3D05">
        <w:rPr>
          <w:rFonts w:ascii="Calibri" w:hAnsi="Calibri" w:cs="Calibri"/>
          <w:color w:val="00000A"/>
          <w:sz w:val="20"/>
          <w:szCs w:val="20"/>
        </w:rPr>
        <w:t xml:space="preserve"> 1710</w:t>
      </w:r>
      <w:r w:rsidRPr="001B2B2A">
        <w:rPr>
          <w:rFonts w:ascii="Calibri" w:hAnsi="Calibri" w:cs="Calibri"/>
          <w:color w:val="00000A"/>
          <w:sz w:val="20"/>
          <w:szCs w:val="20"/>
        </w:rPr>
        <w:t>).o wartości zamówienia przekraczającej progi unijne, o jakich stanowi art. 3 ustawy z 11.09.2019r - Prawo zamówień publicznych - dalej PZP pn., opublikowanego po sygnaturą postępowania: DZP.</w:t>
      </w:r>
    </w:p>
    <w:p w14:paraId="0A0981A4"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Strony </w:t>
      </w:r>
      <w:r w:rsidRPr="001B2B2A">
        <w:rPr>
          <w:rFonts w:ascii="Calibri" w:hAnsi="Calibri" w:cs="Calibri"/>
          <w:color w:val="00000A"/>
          <w:sz w:val="20"/>
          <w:szCs w:val="20"/>
        </w:rPr>
        <w:t xml:space="preserve">- podmioty bezpośrednio uczestniczące w umowie zawiązanej na podstawie rozstrzygnięcia podstępowania przetargowego. </w:t>
      </w:r>
    </w:p>
    <w:p w14:paraId="29BF3344"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System informatyczny</w:t>
      </w:r>
      <w:r w:rsidRPr="001B2B2A">
        <w:rPr>
          <w:rFonts w:ascii="Calibri" w:hAnsi="Calibri" w:cs="Calibri"/>
          <w:color w:val="00000A"/>
          <w:sz w:val="20"/>
          <w:szCs w:val="20"/>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271E8482"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Infrastruktura sprzętowa - </w:t>
      </w:r>
      <w:r w:rsidRPr="001B2B2A">
        <w:rPr>
          <w:rFonts w:ascii="Calibri" w:hAnsi="Calibri" w:cs="Calibri"/>
          <w:bCs/>
          <w:color w:val="00000A"/>
          <w:sz w:val="20"/>
          <w:szCs w:val="20"/>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58CE29AB"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Umowa</w:t>
      </w:r>
      <w:r w:rsidRPr="001B2B2A">
        <w:rPr>
          <w:rFonts w:ascii="Calibri" w:hAnsi="Calibri" w:cs="Calibri"/>
          <w:color w:val="00000A"/>
          <w:sz w:val="20"/>
          <w:szCs w:val="20"/>
        </w:rPr>
        <w:t xml:space="preserve"> – umowa zawarta w ramach realizacji OPZ. </w:t>
      </w:r>
    </w:p>
    <w:p w14:paraId="78217908"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 xml:space="preserve">SWZ – </w:t>
      </w:r>
      <w:r w:rsidRPr="001B2B2A">
        <w:rPr>
          <w:rFonts w:ascii="Calibri" w:hAnsi="Calibri" w:cs="Calibri"/>
          <w:bCs/>
          <w:color w:val="00000A"/>
          <w:sz w:val="20"/>
          <w:szCs w:val="20"/>
        </w:rPr>
        <w:t>Specyfikacja Warunków Zamówienia</w:t>
      </w:r>
      <w:r w:rsidRPr="001B2B2A">
        <w:rPr>
          <w:rFonts w:ascii="Calibri" w:hAnsi="Calibri" w:cs="Calibri"/>
          <w:color w:val="00000A"/>
          <w:sz w:val="20"/>
          <w:szCs w:val="20"/>
        </w:rPr>
        <w:t xml:space="preserve"> </w:t>
      </w:r>
    </w:p>
    <w:p w14:paraId="372D2809"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Szczegółowym Harmonogramem Realizacji Zadania</w:t>
      </w:r>
      <w:r w:rsidRPr="001B2B2A">
        <w:rPr>
          <w:rFonts w:ascii="Calibri" w:hAnsi="Calibri" w:cs="Calibri"/>
          <w:color w:val="00000A"/>
          <w:sz w:val="20"/>
          <w:szCs w:val="20"/>
        </w:rPr>
        <w:t xml:space="preserve"> – szczegółowy terminarz realizacji przedmiotu Umowy wraz z podziałem na Etapy przygotowany przez Wykonawcę w terminie 14 dni roboczych od zawarcia umowy. </w:t>
      </w:r>
    </w:p>
    <w:p w14:paraId="5A65AC1F"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Zadanie</w:t>
      </w:r>
      <w:r w:rsidRPr="001B2B2A">
        <w:rPr>
          <w:rFonts w:ascii="Calibri" w:hAnsi="Calibri" w:cs="Calibri"/>
          <w:color w:val="00000A"/>
          <w:sz w:val="20"/>
          <w:szCs w:val="20"/>
        </w:rPr>
        <w:t xml:space="preserve">  –  przedmiot  zamówienia  (przedmiot  Umowy)  wynikający  łącznie  z SWZ,  Oferty  Wykonawcy, Umowy. </w:t>
      </w:r>
    </w:p>
    <w:p w14:paraId="09890CB6"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Protokół Odbiorczy</w:t>
      </w:r>
      <w:r w:rsidRPr="001B2B2A">
        <w:rPr>
          <w:rFonts w:ascii="Calibri" w:hAnsi="Calibri" w:cs="Calibri"/>
          <w:color w:val="00000A"/>
          <w:sz w:val="20"/>
          <w:szCs w:val="20"/>
        </w:rPr>
        <w:t xml:space="preserve"> – protokół przygotowany przez Wykonawcę, będący potwierdzeniem przyjęcia przez Zamawiającego wykonanych przez Wykonawcę prac będących przedmiotem poszczególnych Etapów.</w:t>
      </w:r>
    </w:p>
    <w:p w14:paraId="69B967B9"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lastRenderedPageBreak/>
        <w:t>Protokół Uzgodnień</w:t>
      </w:r>
      <w:r w:rsidRPr="001B2B2A">
        <w:rPr>
          <w:rFonts w:ascii="Calibri" w:hAnsi="Calibri" w:cs="Calibri"/>
          <w:color w:val="00000A"/>
          <w:sz w:val="20"/>
          <w:szCs w:val="20"/>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08CD1A99"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Dzień Roboczy</w:t>
      </w:r>
      <w:r w:rsidRPr="001B2B2A">
        <w:rPr>
          <w:rFonts w:ascii="Calibri" w:hAnsi="Calibri" w:cs="Calibri"/>
          <w:color w:val="00000A"/>
          <w:sz w:val="20"/>
          <w:szCs w:val="20"/>
        </w:rPr>
        <w:t xml:space="preserve"> –  każdy dzień od poniedziałku do piątku z wyłączeniem dni ustawowo wolnych od pracy. </w:t>
      </w:r>
    </w:p>
    <w:p w14:paraId="3F8212C2"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Godziny Robocze</w:t>
      </w:r>
      <w:r w:rsidRPr="001B2B2A">
        <w:rPr>
          <w:rFonts w:ascii="Calibri" w:hAnsi="Calibri" w:cs="Calibri"/>
          <w:color w:val="00000A"/>
          <w:sz w:val="20"/>
          <w:szCs w:val="20"/>
        </w:rPr>
        <w:t xml:space="preserve"> – godziny od 7:30 do 14:30 w każdym Dniu Roboczym. </w:t>
      </w:r>
    </w:p>
    <w:p w14:paraId="7C1678A3"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Kierownik Zamawiającego</w:t>
      </w:r>
      <w:r w:rsidRPr="001B2B2A">
        <w:rPr>
          <w:rFonts w:ascii="Calibri" w:hAnsi="Calibri" w:cs="Calibri"/>
          <w:color w:val="00000A"/>
          <w:sz w:val="20"/>
          <w:szCs w:val="20"/>
        </w:rPr>
        <w:t xml:space="preserve"> – osoba wyznaczona przez Zamawiającego, koordynująca całość przedmiotu danego pakietu, posiadająca odpowiednie pełnomocnictwa. W szczególności odpowiedzialna ze strony Zamawiającego za realizację przedmiotu zamówienia. </w:t>
      </w:r>
    </w:p>
    <w:p w14:paraId="051EEF18" w14:textId="77777777" w:rsidR="00203EA1" w:rsidRPr="001B2B2A" w:rsidRDefault="00000000" w:rsidP="001B2B2A">
      <w:pPr>
        <w:numPr>
          <w:ilvl w:val="0"/>
          <w:numId w:val="1"/>
        </w:numPr>
        <w:spacing w:after="16" w:line="360" w:lineRule="auto"/>
        <w:ind w:right="32"/>
        <w:rPr>
          <w:rFonts w:ascii="Calibri" w:hAnsi="Calibri" w:cs="Calibri"/>
          <w:sz w:val="20"/>
          <w:szCs w:val="20"/>
        </w:rPr>
      </w:pPr>
      <w:r w:rsidRPr="001B2B2A">
        <w:rPr>
          <w:rFonts w:ascii="Calibri" w:hAnsi="Calibri" w:cs="Calibri"/>
          <w:b/>
          <w:color w:val="00000A"/>
          <w:sz w:val="20"/>
          <w:szCs w:val="20"/>
        </w:rPr>
        <w:t>Kierownik Wykonawcy</w:t>
      </w:r>
      <w:r w:rsidRPr="001B2B2A">
        <w:rPr>
          <w:rFonts w:ascii="Calibri" w:hAnsi="Calibri" w:cs="Calibri"/>
          <w:color w:val="00000A"/>
          <w:sz w:val="20"/>
          <w:szCs w:val="20"/>
        </w:rPr>
        <w:t xml:space="preserve"> - osoba wyznaczona przez Wykonawcę do koordynacji realizacji prac danego zadania. Upoważniona do podpisywania Dokumentacji Projektu z ramienia Wykonawcy.</w:t>
      </w:r>
    </w:p>
    <w:p w14:paraId="0EC71229" w14:textId="77777777" w:rsidR="00203EA1" w:rsidRPr="001B2B2A" w:rsidRDefault="00203EA1" w:rsidP="001B2B2A">
      <w:pPr>
        <w:spacing w:after="0" w:line="360" w:lineRule="auto"/>
        <w:ind w:left="122" w:right="0" w:firstLine="0"/>
        <w:jc w:val="left"/>
        <w:rPr>
          <w:rFonts w:ascii="Calibri" w:hAnsi="Calibri" w:cs="Calibri"/>
          <w:sz w:val="20"/>
          <w:szCs w:val="20"/>
        </w:rPr>
      </w:pPr>
    </w:p>
    <w:p w14:paraId="7C5F824F" w14:textId="77777777" w:rsidR="00203EA1" w:rsidRPr="001B2B2A" w:rsidRDefault="00000000" w:rsidP="001B2B2A">
      <w:pPr>
        <w:spacing w:line="360" w:lineRule="auto"/>
        <w:ind w:right="34"/>
        <w:rPr>
          <w:rFonts w:ascii="Calibri" w:hAnsi="Calibri" w:cs="Calibri"/>
          <w:sz w:val="20"/>
          <w:szCs w:val="20"/>
        </w:rPr>
      </w:pPr>
      <w:r w:rsidRPr="001B2B2A">
        <w:rPr>
          <w:rFonts w:ascii="Calibri" w:hAnsi="Calibri" w:cs="Calibri"/>
          <w:b/>
          <w:bCs/>
          <w:sz w:val="20"/>
          <w:szCs w:val="20"/>
          <w:u w:val="single"/>
        </w:rPr>
        <w:t>OPIS RÓWNOWAŻNOŚCI:</w:t>
      </w:r>
    </w:p>
    <w:p w14:paraId="77171492"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1B2B2A">
        <w:rPr>
          <w:rFonts w:ascii="Calibri" w:eastAsia="Cambria" w:hAnsi="Calibri" w:cs="Calibri"/>
          <w:color w:val="000000" w:themeColor="text1"/>
          <w:sz w:val="20"/>
          <w:szCs w:val="20"/>
        </w:rPr>
        <w:t>Pzp</w:t>
      </w:r>
      <w:proofErr w:type="spellEnd"/>
      <w:r w:rsidRPr="001B2B2A">
        <w:rPr>
          <w:rFonts w:ascii="Calibri" w:eastAsia="Cambria" w:hAnsi="Calibri" w:cs="Calibri"/>
          <w:color w:val="000000" w:themeColor="text1"/>
          <w:sz w:val="20"/>
          <w:szCs w:val="20"/>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4B7D24CB"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1AF94E0C"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6933F514" w14:textId="77777777" w:rsidR="00203EA1" w:rsidRPr="001B2B2A" w:rsidRDefault="00000000" w:rsidP="001B2B2A">
      <w:pPr>
        <w:spacing w:after="13" w:line="360" w:lineRule="auto"/>
        <w:ind w:right="0"/>
        <w:contextualSpacing/>
        <w:rPr>
          <w:rFonts w:ascii="Calibri" w:hAnsi="Calibri" w:cs="Calibri"/>
          <w:sz w:val="20"/>
          <w:szCs w:val="20"/>
        </w:rPr>
      </w:pPr>
      <w:r w:rsidRPr="001B2B2A">
        <w:rPr>
          <w:rFonts w:ascii="Calibri" w:eastAsia="Cambria" w:hAnsi="Calibri" w:cs="Calibri"/>
          <w:color w:val="000000" w:themeColor="text1"/>
          <w:sz w:val="20"/>
          <w:szCs w:val="20"/>
        </w:rPr>
        <w:t xml:space="preserve">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w:t>
      </w:r>
      <w:r w:rsidRPr="001B2B2A">
        <w:rPr>
          <w:rFonts w:ascii="Calibri" w:eastAsia="Cambria" w:hAnsi="Calibri" w:cs="Calibri"/>
          <w:color w:val="000000" w:themeColor="text1"/>
          <w:sz w:val="20"/>
          <w:szCs w:val="20"/>
        </w:rPr>
        <w:lastRenderedPageBreak/>
        <w:t>równoważny to produkt, który nie jest identyczny, tożsamy z produktem referencyjnym, ale posiada pewne, istotne dla Zamawiającego, zbliżone do produktu referencyjnego cechy i parametry.</w:t>
      </w:r>
    </w:p>
    <w:p w14:paraId="094DEE7D" w14:textId="39A8CA91" w:rsidR="00203EA1" w:rsidRPr="001B2B2A" w:rsidRDefault="00000000" w:rsidP="001B2B2A">
      <w:pPr>
        <w:spacing w:line="360" w:lineRule="auto"/>
        <w:ind w:right="34"/>
        <w:rPr>
          <w:rFonts w:ascii="Calibri" w:hAnsi="Calibri" w:cs="Calibri"/>
          <w:sz w:val="20"/>
          <w:szCs w:val="20"/>
        </w:rPr>
      </w:pPr>
      <w:r w:rsidRPr="001B2B2A">
        <w:rPr>
          <w:rFonts w:ascii="Calibri" w:eastAsia="Cambria" w:hAnsi="Calibri" w:cs="Calibri"/>
          <w:color w:val="000000" w:themeColor="text1"/>
          <w:sz w:val="20"/>
          <w:szCs w:val="20"/>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1B2B2A">
        <w:rPr>
          <w:rFonts w:ascii="Calibri" w:hAnsi="Calibri" w:cs="Calibri"/>
          <w:sz w:val="20"/>
          <w:szCs w:val="20"/>
        </w:rPr>
        <w:t xml:space="preserve"> </w:t>
      </w:r>
    </w:p>
    <w:p w14:paraId="0DC2EC4F" w14:textId="4506BAE0" w:rsidR="00203EA1" w:rsidRPr="001B2B2A" w:rsidRDefault="00000000" w:rsidP="001B2B2A">
      <w:pPr>
        <w:spacing w:before="240" w:after="0" w:line="360" w:lineRule="auto"/>
        <w:ind w:left="0" w:right="0" w:firstLine="0"/>
        <w:rPr>
          <w:rFonts w:ascii="Calibri" w:hAnsi="Calibri" w:cs="Calibri"/>
          <w:sz w:val="20"/>
          <w:szCs w:val="20"/>
        </w:rPr>
      </w:pPr>
      <w:r w:rsidRPr="001B2B2A">
        <w:rPr>
          <w:rFonts w:ascii="Calibri" w:hAnsi="Calibri" w:cs="Calibri"/>
          <w:sz w:val="20"/>
          <w:szCs w:val="20"/>
        </w:rPr>
        <w:t xml:space="preserve">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w:t>
      </w:r>
      <w:r w:rsidR="001B2B2A">
        <w:rPr>
          <w:rFonts w:ascii="Calibri" w:hAnsi="Calibri" w:cs="Calibri"/>
          <w:sz w:val="20"/>
          <w:szCs w:val="20"/>
        </w:rPr>
        <w:t xml:space="preserve">                               </w:t>
      </w:r>
      <w:r w:rsidRPr="001B2B2A">
        <w:rPr>
          <w:rFonts w:ascii="Calibri" w:hAnsi="Calibri" w:cs="Calibri"/>
          <w:sz w:val="20"/>
          <w:szCs w:val="20"/>
        </w:rPr>
        <w:t>i producenta.</w:t>
      </w:r>
    </w:p>
    <w:p w14:paraId="09F03D56" w14:textId="2C47127A" w:rsidR="00203EA1" w:rsidRPr="001B2B2A" w:rsidRDefault="00000000" w:rsidP="001B2B2A">
      <w:pPr>
        <w:spacing w:before="240" w:after="0" w:line="360" w:lineRule="auto"/>
        <w:ind w:left="0" w:right="0" w:firstLine="0"/>
        <w:rPr>
          <w:rFonts w:ascii="Calibri" w:hAnsi="Calibri" w:cs="Calibri"/>
          <w:sz w:val="20"/>
          <w:szCs w:val="20"/>
        </w:rPr>
      </w:pPr>
      <w:r w:rsidRPr="001B2B2A">
        <w:rPr>
          <w:rFonts w:ascii="Calibri" w:hAnsi="Calibri" w:cs="Calibri"/>
          <w:sz w:val="20"/>
          <w:szCs w:val="20"/>
        </w:rPr>
        <w:t>W celu wykazania cech równoważności Zamawiający dopuszcza załączenie do opisu etykiet, zdjęć, kart katalogowych itp., z dopiskiem której pozycji asortymentowej (jakiego sprzętu) dotyczy dana informacja</w:t>
      </w:r>
      <w:r w:rsidR="001B2B2A">
        <w:rPr>
          <w:rFonts w:ascii="Calibri" w:hAnsi="Calibri" w:cs="Calibri"/>
          <w:sz w:val="20"/>
          <w:szCs w:val="20"/>
        </w:rPr>
        <w:t xml:space="preserve">                     </w:t>
      </w:r>
      <w:r w:rsidRPr="001B2B2A">
        <w:rPr>
          <w:rFonts w:ascii="Calibri" w:hAnsi="Calibri" w:cs="Calibri"/>
          <w:sz w:val="20"/>
          <w:szCs w:val="20"/>
        </w:rPr>
        <w:t xml:space="preserve"> z zastrzeżeniem, że z tych dokumentów muszą wynikać parametry co najmniej określone przez Zamawiającego w załącznikach do OPZ i dane identyfikujące produkt.</w:t>
      </w:r>
    </w:p>
    <w:p w14:paraId="606DCD47" w14:textId="77777777" w:rsidR="00203EA1" w:rsidRPr="001B2B2A" w:rsidRDefault="00203EA1" w:rsidP="001B2B2A">
      <w:pPr>
        <w:spacing w:line="360" w:lineRule="auto"/>
        <w:rPr>
          <w:rFonts w:ascii="Calibri" w:hAnsi="Calibri" w:cs="Calibri"/>
          <w:sz w:val="20"/>
          <w:szCs w:val="20"/>
        </w:rPr>
      </w:pPr>
    </w:p>
    <w:p w14:paraId="6F69101B" w14:textId="77777777" w:rsidR="00203EA1" w:rsidRPr="001B2B2A" w:rsidRDefault="00000000" w:rsidP="001B2B2A">
      <w:pPr>
        <w:spacing w:after="0" w:line="360" w:lineRule="auto"/>
        <w:rPr>
          <w:rFonts w:ascii="Calibri" w:hAnsi="Calibri" w:cs="Calibri"/>
          <w:sz w:val="20"/>
          <w:szCs w:val="20"/>
        </w:rPr>
      </w:pPr>
      <w:bookmarkStart w:id="0" w:name="_Hlk109630758"/>
      <w:bookmarkEnd w:id="0"/>
      <w:r w:rsidRPr="001B2B2A">
        <w:rPr>
          <w:rFonts w:ascii="Calibri" w:hAnsi="Calibri" w:cs="Calibri"/>
          <w:b/>
          <w:bCs/>
          <w:sz w:val="20"/>
          <w:szCs w:val="20"/>
        </w:rPr>
        <w:t>Audyt bezpieczeństwa systemów IT</w:t>
      </w:r>
    </w:p>
    <w:p w14:paraId="2C9BCA8E" w14:textId="3D9C8BB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 xml:space="preserve">Przedmiotem zamówienia jest Przeprowadzenie audytu bezpieczeństwa, którego celem jest wykazanie podniesienia poziomu bezpieczeństwa teleinformatycznego po zrealizowaniu czynności w odniesieniu do stanu na dzień przeprowadzenia badania poziomu dojrzałości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 xml:space="preserve"> i oceny podniesienia poziomu bezpieczeństwa teleinformatycznego, zgodnie z Zarządzeniem nr 68/2022/BBIICD Prezesa Narodowego Funduszu Zdrowia z dnia 20 maja 2022 r. w sprawie finansowania działań w celu podniesienia poziomu bezpieczeństwa systemów teleinformatycznych świadczeniodawców.</w:t>
      </w:r>
    </w:p>
    <w:p w14:paraId="6FB66F0B"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Obszary Audytu (raportu):</w:t>
      </w:r>
    </w:p>
    <w:p w14:paraId="44CEE172"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Ocena skuteczności działania infrastruktury w zakresie urządzeń i konfiguracji w zakresie: ochrony poczty, ochrony sieci, systemów serwerowych, stacji roboczych, systemów bezpieczeństwa,</w:t>
      </w:r>
    </w:p>
    <w:p w14:paraId="4FABB458"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Zarządzanie bezpieczeństwem informacji:</w:t>
      </w:r>
    </w:p>
    <w:p w14:paraId="09327D5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nośniki wymienne - udokumentowany sposób postępowania,</w:t>
      </w:r>
    </w:p>
    <w:p w14:paraId="70FE7519"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zarządzanie tożsamością/dostęp do systemów w zakresie: przydzielanie dostępu, odbieranie dostępu,</w:t>
      </w:r>
    </w:p>
    <w:p w14:paraId="6CDF36C4"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 xml:space="preserve">pomieszczenie/pomieszczenia w dyspozycji struktur zespołu odpowiedzialnego za </w:t>
      </w:r>
      <w:proofErr w:type="spellStart"/>
      <w:r w:rsidRPr="001B2B2A">
        <w:rPr>
          <w:rFonts w:ascii="Calibri" w:hAnsi="Calibri" w:cs="Calibri"/>
          <w:sz w:val="20"/>
          <w:szCs w:val="20"/>
        </w:rPr>
        <w:t>cyberbezpieczeństwo</w:t>
      </w:r>
      <w:proofErr w:type="spellEnd"/>
      <w:r w:rsidRPr="001B2B2A">
        <w:rPr>
          <w:rFonts w:ascii="Calibri" w:hAnsi="Calibri" w:cs="Calibri"/>
          <w:sz w:val="20"/>
          <w:szCs w:val="20"/>
        </w:rPr>
        <w:t xml:space="preserve"> zgodnie z wymogami dla Operatora Usługi Kluczowej, o którym mowa w art. 5 ustawy z dnia 5 lipca 2018 r. o Krajowym Systemie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4A44F29E"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Monitorowanie i reagowanie na incydenty bezpieczeństwa:</w:t>
      </w:r>
    </w:p>
    <w:p w14:paraId="521C6326"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zarządzania incydentami,</w:t>
      </w:r>
    </w:p>
    <w:p w14:paraId="26149B26"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raportowanie poziomów pokrycia scenariuszami znanych incydentów,</w:t>
      </w:r>
    </w:p>
    <w:p w14:paraId="7F90BB5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lastRenderedPageBreak/>
        <w:t xml:space="preserve">dokumentacja dotycząca przekazywania informacji do właściwego zespołu CSIRT poziomu krajowego/ sektorowego zespołu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6E6F33AB"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monitorowanie i wykrycie incydentów bezpieczeństwa,</w:t>
      </w:r>
    </w:p>
    <w:p w14:paraId="3B1E2321"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Identyfikacja i dokumentowanie przyczyn wystąpienia incydentów.</w:t>
      </w:r>
    </w:p>
    <w:p w14:paraId="0E367425"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Zarządzanie ciągłością działania:</w:t>
      </w:r>
    </w:p>
    <w:p w14:paraId="5A126A09"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konfiguracja oraz polityki systemów do wykonywania kopii bezpieczeństwa,</w:t>
      </w:r>
    </w:p>
    <w:p w14:paraId="0F7AB6C3"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raport z przeglądów i testów odtwarzania kopii bezpieczeństwa,</w:t>
      </w:r>
    </w:p>
    <w:p w14:paraId="71C201FF"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wykonywania i przechowywania kopii zapasowych,</w:t>
      </w:r>
    </w:p>
    <w:p w14:paraId="3AD38574"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strategia i polityka ciągłości działania, awaryjne oraz odtwarzania po katastrofie (DRP),</w:t>
      </w:r>
    </w:p>
    <w:p w14:paraId="5FB389AE"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utrzymaniowe.</w:t>
      </w:r>
    </w:p>
    <w:p w14:paraId="05B5D08D"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Utrzymanie systemów informacyjnych:</w:t>
      </w:r>
    </w:p>
    <w:p w14:paraId="2B0E59C3"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harmonogramy skanowania podatności,</w:t>
      </w:r>
    </w:p>
    <w:p w14:paraId="60964B94"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aktualny status realizacji postępowania z podatnościami,</w:t>
      </w:r>
    </w:p>
    <w:p w14:paraId="00DE606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procedury związane ze z identyfikowaniem (wykryciem) podatności,</w:t>
      </w:r>
    </w:p>
    <w:p w14:paraId="6E244D7D"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współpraca z osobami odpowiedzialnymi za procesy zarządzania incydentami.</w:t>
      </w:r>
    </w:p>
    <w:p w14:paraId="01BDB5F7" w14:textId="77777777" w:rsidR="00203EA1" w:rsidRPr="001B2B2A" w:rsidRDefault="00000000" w:rsidP="001B2B2A">
      <w:pPr>
        <w:pStyle w:val="Akapitzlist"/>
        <w:numPr>
          <w:ilvl w:val="0"/>
          <w:numId w:val="3"/>
        </w:numPr>
        <w:spacing w:after="0" w:line="360" w:lineRule="auto"/>
        <w:ind w:left="284" w:right="0" w:hanging="284"/>
        <w:rPr>
          <w:rFonts w:ascii="Calibri" w:hAnsi="Calibri" w:cs="Calibri"/>
          <w:sz w:val="20"/>
          <w:szCs w:val="20"/>
        </w:rPr>
      </w:pPr>
      <w:r w:rsidRPr="001B2B2A">
        <w:rPr>
          <w:rFonts w:ascii="Calibri" w:hAnsi="Calibri" w:cs="Calibri"/>
          <w:sz w:val="20"/>
          <w:szCs w:val="20"/>
        </w:rPr>
        <w:t>Zarządzanie bezpieczeństwem i ciągłością działania łańcucha usług:</w:t>
      </w:r>
    </w:p>
    <w:p w14:paraId="65FA85FE"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polityka bezpieczeństwa w relacjach z dostawcami,</w:t>
      </w:r>
    </w:p>
    <w:p w14:paraId="56F34322"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 xml:space="preserve">standardy i wymagania nakładane na dostawców w umowach w zakresie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4D63425F"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dostęp zdalny,</w:t>
      </w:r>
    </w:p>
    <w:p w14:paraId="73F61A3D" w14:textId="77777777" w:rsidR="00203EA1" w:rsidRPr="001B2B2A" w:rsidRDefault="00000000" w:rsidP="001B2B2A">
      <w:pPr>
        <w:pStyle w:val="Akapitzlist"/>
        <w:numPr>
          <w:ilvl w:val="1"/>
          <w:numId w:val="3"/>
        </w:numPr>
        <w:spacing w:after="0" w:line="360" w:lineRule="auto"/>
        <w:ind w:left="567" w:right="0" w:hanging="283"/>
        <w:rPr>
          <w:rFonts w:ascii="Calibri" w:hAnsi="Calibri" w:cs="Calibri"/>
          <w:sz w:val="20"/>
          <w:szCs w:val="20"/>
        </w:rPr>
      </w:pPr>
      <w:r w:rsidRPr="001B2B2A">
        <w:rPr>
          <w:rFonts w:ascii="Calibri" w:hAnsi="Calibri" w:cs="Calibri"/>
          <w:sz w:val="20"/>
          <w:szCs w:val="20"/>
        </w:rPr>
        <w:t>metody uwierzytelnienia.</w:t>
      </w:r>
    </w:p>
    <w:p w14:paraId="43598D4C"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Kryteria Audytu Bezpieczeństwa oparte będą o:</w:t>
      </w:r>
    </w:p>
    <w:p w14:paraId="5D8E6F41"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Ankietę weryfikacji pod kątem dojrzałości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3C4EF7DD"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Wymagania normatywne PN-EN ISO/IEC 27001:2017-06.</w:t>
      </w:r>
    </w:p>
    <w:p w14:paraId="3C87BEAA"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Wymagania normatywne PN-EN ISO 22301:2020-04.</w:t>
      </w:r>
    </w:p>
    <w:p w14:paraId="3EAA5062"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Wewnętrzną dokumentację Zamawiającego.</w:t>
      </w:r>
    </w:p>
    <w:p w14:paraId="26DA842A"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Przepisy o Krajowym Systemie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w:t>
      </w:r>
    </w:p>
    <w:p w14:paraId="280CFA74"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Standardy Krajowych Ram Interoperacyjności (KRI).</w:t>
      </w:r>
    </w:p>
    <w:p w14:paraId="14F0FAA7" w14:textId="77777777" w:rsidR="00203EA1" w:rsidRPr="001B2B2A" w:rsidRDefault="00000000" w:rsidP="001B2B2A">
      <w:pPr>
        <w:pStyle w:val="Akapitzlist"/>
        <w:numPr>
          <w:ilvl w:val="0"/>
          <w:numId w:val="2"/>
        </w:numPr>
        <w:spacing w:after="0" w:line="360" w:lineRule="auto"/>
        <w:ind w:left="426" w:right="0" w:hanging="426"/>
        <w:rPr>
          <w:rFonts w:ascii="Calibri" w:hAnsi="Calibri" w:cs="Calibri"/>
          <w:sz w:val="20"/>
          <w:szCs w:val="20"/>
        </w:rPr>
      </w:pPr>
      <w:r w:rsidRPr="001B2B2A">
        <w:rPr>
          <w:rFonts w:ascii="Calibri" w:hAnsi="Calibri" w:cs="Calibri"/>
          <w:sz w:val="20"/>
          <w:szCs w:val="20"/>
        </w:rPr>
        <w:t>Zakresem Audytu objęta będzie cała działalność świadczeniodawcy.</w:t>
      </w:r>
    </w:p>
    <w:p w14:paraId="7BCC8938" w14:textId="77777777" w:rsidR="00203EA1" w:rsidRPr="001B2B2A" w:rsidRDefault="00203EA1" w:rsidP="001B2B2A">
      <w:pPr>
        <w:spacing w:after="0" w:line="360" w:lineRule="auto"/>
        <w:rPr>
          <w:rFonts w:ascii="Calibri" w:hAnsi="Calibri" w:cs="Calibri"/>
          <w:sz w:val="20"/>
          <w:szCs w:val="20"/>
        </w:rPr>
      </w:pPr>
      <w:bookmarkStart w:id="1" w:name="_Hlk1096307581"/>
      <w:bookmarkEnd w:id="1"/>
    </w:p>
    <w:p w14:paraId="70B91E28"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Wymagania dla jednostki przeprowadzającej audyt:</w:t>
      </w:r>
    </w:p>
    <w:p w14:paraId="08C6C544" w14:textId="77777777" w:rsidR="00203EA1" w:rsidRPr="001B2B2A" w:rsidRDefault="00000000" w:rsidP="001B2B2A">
      <w:pPr>
        <w:spacing w:after="0" w:line="360" w:lineRule="auto"/>
        <w:rPr>
          <w:rFonts w:ascii="Calibri" w:hAnsi="Calibri" w:cs="Calibri"/>
          <w:sz w:val="20"/>
          <w:szCs w:val="20"/>
        </w:rPr>
      </w:pPr>
      <w:r w:rsidRPr="001B2B2A">
        <w:rPr>
          <w:rFonts w:ascii="Calibri" w:hAnsi="Calibri" w:cs="Calibri"/>
          <w:sz w:val="20"/>
          <w:szCs w:val="20"/>
        </w:rPr>
        <w:t>Zamawiający wymaga, aby jednostka przeprowadzająca audyt spełniała wymagania określone w:</w:t>
      </w:r>
      <w:bookmarkStart w:id="2" w:name="_Hlk108989296"/>
      <w:bookmarkEnd w:id="2"/>
    </w:p>
    <w:p w14:paraId="4C8A885C" w14:textId="77777777" w:rsidR="00203EA1" w:rsidRPr="001B2B2A" w:rsidRDefault="00000000" w:rsidP="001B2B2A">
      <w:pPr>
        <w:pStyle w:val="Akapitzlist"/>
        <w:numPr>
          <w:ilvl w:val="0"/>
          <w:numId w:val="4"/>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Załączniku nr 2 do Zarządzenia nr 68/2022/BBIICD Prezesa Narodowego Funduszu Zdrowia z dnia 20 maja 2022 r. </w:t>
      </w:r>
      <w:r w:rsidRPr="001B2B2A">
        <w:rPr>
          <w:rFonts w:ascii="Calibri" w:hAnsi="Calibri" w:cs="Calibri"/>
          <w:sz w:val="20"/>
          <w:szCs w:val="20"/>
        </w:rPr>
        <w:br/>
        <w:t>w sprawie finansowania działań w celu podniesienia poziomu bezpieczeństwa systemów teleinformatycznych świadczeniodawców,</w:t>
      </w:r>
    </w:p>
    <w:p w14:paraId="799E1646" w14:textId="77777777" w:rsidR="00203EA1" w:rsidRPr="001B2B2A" w:rsidRDefault="00000000" w:rsidP="001B2B2A">
      <w:pPr>
        <w:spacing w:after="0" w:line="360" w:lineRule="auto"/>
        <w:ind w:left="426" w:hanging="426"/>
        <w:rPr>
          <w:rFonts w:ascii="Calibri" w:hAnsi="Calibri" w:cs="Calibri"/>
          <w:sz w:val="20"/>
          <w:szCs w:val="20"/>
        </w:rPr>
      </w:pPr>
      <w:r w:rsidRPr="001B2B2A">
        <w:rPr>
          <w:rFonts w:ascii="Calibri" w:hAnsi="Calibri" w:cs="Calibri"/>
          <w:sz w:val="20"/>
          <w:szCs w:val="20"/>
        </w:rPr>
        <w:t>oraz</w:t>
      </w:r>
    </w:p>
    <w:p w14:paraId="40C96800" w14:textId="77777777" w:rsidR="00203EA1" w:rsidRPr="001B2B2A" w:rsidRDefault="00000000" w:rsidP="001B2B2A">
      <w:pPr>
        <w:pStyle w:val="Akapitzlist"/>
        <w:numPr>
          <w:ilvl w:val="0"/>
          <w:numId w:val="4"/>
        </w:numPr>
        <w:spacing w:after="0" w:line="360" w:lineRule="auto"/>
        <w:ind w:left="426" w:right="0" w:hanging="426"/>
        <w:rPr>
          <w:rFonts w:ascii="Calibri" w:hAnsi="Calibri" w:cs="Calibri"/>
          <w:sz w:val="20"/>
          <w:szCs w:val="20"/>
        </w:rPr>
      </w:pPr>
      <w:r w:rsidRPr="001B2B2A">
        <w:rPr>
          <w:rFonts w:ascii="Calibri" w:hAnsi="Calibri" w:cs="Calibri"/>
          <w:sz w:val="20"/>
          <w:szCs w:val="20"/>
        </w:rPr>
        <w:t xml:space="preserve">Ustawie z dnia 5 lipca 2018r. o Krajowym Systemie </w:t>
      </w:r>
      <w:proofErr w:type="spellStart"/>
      <w:r w:rsidRPr="001B2B2A">
        <w:rPr>
          <w:rFonts w:ascii="Calibri" w:hAnsi="Calibri" w:cs="Calibri"/>
          <w:sz w:val="20"/>
          <w:szCs w:val="20"/>
        </w:rPr>
        <w:t>Cyberbezpieczeństwa</w:t>
      </w:r>
      <w:proofErr w:type="spellEnd"/>
      <w:r w:rsidRPr="001B2B2A">
        <w:rPr>
          <w:rFonts w:ascii="Calibri" w:hAnsi="Calibri" w:cs="Calibri"/>
          <w:sz w:val="20"/>
          <w:szCs w:val="20"/>
        </w:rPr>
        <w:t xml:space="preserve"> (Dz. U. 2018 poz. 1560).</w:t>
      </w:r>
    </w:p>
    <w:p w14:paraId="0F658A89" w14:textId="77777777" w:rsidR="00203EA1" w:rsidRPr="001B2B2A" w:rsidRDefault="00203EA1" w:rsidP="001B2B2A">
      <w:pPr>
        <w:spacing w:after="0" w:line="360" w:lineRule="auto"/>
        <w:rPr>
          <w:rFonts w:ascii="Calibri" w:hAnsi="Calibri" w:cs="Calibri"/>
          <w:sz w:val="20"/>
          <w:szCs w:val="20"/>
        </w:rPr>
      </w:pPr>
    </w:p>
    <w:sectPr w:rsidR="00203EA1" w:rsidRPr="001B2B2A">
      <w:headerReference w:type="default" r:id="rId7"/>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9847" w14:textId="77777777" w:rsidR="005C4C0C" w:rsidRDefault="005C4C0C">
      <w:pPr>
        <w:spacing w:after="0" w:line="240" w:lineRule="auto"/>
      </w:pPr>
      <w:r>
        <w:separator/>
      </w:r>
    </w:p>
  </w:endnote>
  <w:endnote w:type="continuationSeparator" w:id="0">
    <w:p w14:paraId="06986494" w14:textId="77777777" w:rsidR="005C4C0C" w:rsidRDefault="005C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brima">
    <w:panose1 w:val="02000000000000000000"/>
    <w:charset w:val="EE"/>
    <w:family w:val="auto"/>
    <w:pitch w:val="variable"/>
    <w:sig w:usb0="A000005F" w:usb1="02000041" w:usb2="000008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C286" w14:textId="77777777" w:rsidR="005C4C0C" w:rsidRDefault="005C4C0C">
      <w:pPr>
        <w:spacing w:after="0" w:line="240" w:lineRule="auto"/>
      </w:pPr>
      <w:r>
        <w:separator/>
      </w:r>
    </w:p>
  </w:footnote>
  <w:footnote w:type="continuationSeparator" w:id="0">
    <w:p w14:paraId="1EC1002D" w14:textId="77777777" w:rsidR="005C4C0C" w:rsidRDefault="005C4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DDCD" w14:textId="77777777" w:rsidR="00EB304B" w:rsidRDefault="00EB304B">
    <w:pPr>
      <w:pStyle w:val="Nagwek"/>
    </w:pPr>
  </w:p>
  <w:p w14:paraId="38377691" w14:textId="47F3C504" w:rsidR="00EB304B" w:rsidRPr="00EB304B" w:rsidRDefault="00EB304B">
    <w:pPr>
      <w:pStyle w:val="Nagwek"/>
      <w:rPr>
        <w:rFonts w:ascii="Ebrima" w:hAnsi="Ebrima"/>
        <w:b/>
        <w:bCs/>
        <w:sz w:val="20"/>
        <w:szCs w:val="20"/>
      </w:rPr>
    </w:pPr>
    <w:r w:rsidRPr="00EB304B">
      <w:rPr>
        <w:rFonts w:ascii="Ebrima" w:hAnsi="Ebrima"/>
        <w:b/>
        <w:bCs/>
        <w:sz w:val="20"/>
        <w:szCs w:val="20"/>
      </w:rPr>
      <w:t>P/11/2022</w:t>
    </w:r>
  </w:p>
  <w:p w14:paraId="052398D5" w14:textId="1CB67B21" w:rsidR="00203EA1" w:rsidRDefault="00EB304B">
    <w:pPr>
      <w:pStyle w:val="Nagwek"/>
      <w:rPr>
        <w:rFonts w:ascii="Segoe UI" w:hAnsi="Segoe UI" w:cs="Segoe UI"/>
        <w:b/>
      </w:rPr>
    </w:pPr>
    <w:r>
      <w:rPr>
        <w:rFonts w:ascii="Segoe UI" w:hAnsi="Segoe UI" w:cs="Segoe UI"/>
        <w:b/>
        <w:noProof/>
      </w:rPr>
      <mc:AlternateContent>
        <mc:Choice Requires="wps">
          <w:drawing>
            <wp:anchor distT="0" distB="0" distL="114300" distR="114300" simplePos="0" relativeHeight="251659264" behindDoc="0" locked="0" layoutInCell="1" allowOverlap="1" wp14:anchorId="1F9E6E77" wp14:editId="12F711E5">
              <wp:simplePos x="0" y="0"/>
              <wp:positionH relativeFrom="column">
                <wp:posOffset>-13971</wp:posOffset>
              </wp:positionH>
              <wp:positionV relativeFrom="paragraph">
                <wp:posOffset>78740</wp:posOffset>
              </wp:positionV>
              <wp:extent cx="58578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7F7E7"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6.2pt" to="460.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D459E"/>
    <w:multiLevelType w:val="multilevel"/>
    <w:tmpl w:val="1264FF6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6F56EEA"/>
    <w:multiLevelType w:val="multilevel"/>
    <w:tmpl w:val="D10661C0"/>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2" w15:restartNumberingAfterBreak="0">
    <w:nsid w:val="551B4154"/>
    <w:multiLevelType w:val="multilevel"/>
    <w:tmpl w:val="F3C46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bullet"/>
      <w:lvlText w:val="-"/>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13D7827"/>
    <w:multiLevelType w:val="multilevel"/>
    <w:tmpl w:val="935EF308"/>
    <w:lvl w:ilvl="0">
      <w:start w:val="1"/>
      <w:numFmt w:val="bullet"/>
      <w:lvlText w:val=""/>
      <w:lvlJc w:val="left"/>
      <w:pPr>
        <w:tabs>
          <w:tab w:val="num" w:pos="0"/>
        </w:tabs>
        <w:ind w:left="763" w:hanging="360"/>
      </w:pPr>
      <w:rPr>
        <w:rFonts w:ascii="Symbol" w:hAnsi="Symbol" w:cs="Symbol" w:hint="default"/>
      </w:rPr>
    </w:lvl>
    <w:lvl w:ilvl="1">
      <w:start w:val="1"/>
      <w:numFmt w:val="bullet"/>
      <w:lvlText w:val="o"/>
      <w:lvlJc w:val="left"/>
      <w:pPr>
        <w:tabs>
          <w:tab w:val="num" w:pos="0"/>
        </w:tabs>
        <w:ind w:left="1483" w:hanging="360"/>
      </w:pPr>
      <w:rPr>
        <w:rFonts w:ascii="Courier New" w:hAnsi="Courier New" w:cs="Courier New" w:hint="default"/>
      </w:rPr>
    </w:lvl>
    <w:lvl w:ilvl="2">
      <w:start w:val="1"/>
      <w:numFmt w:val="bullet"/>
      <w:lvlText w:val=""/>
      <w:lvlJc w:val="left"/>
      <w:pPr>
        <w:tabs>
          <w:tab w:val="num" w:pos="0"/>
        </w:tabs>
        <w:ind w:left="2203" w:hanging="360"/>
      </w:pPr>
      <w:rPr>
        <w:rFonts w:ascii="Wingdings" w:hAnsi="Wingdings" w:cs="Wingdings" w:hint="default"/>
      </w:rPr>
    </w:lvl>
    <w:lvl w:ilvl="3">
      <w:start w:val="1"/>
      <w:numFmt w:val="bullet"/>
      <w:lvlText w:val=""/>
      <w:lvlJc w:val="left"/>
      <w:pPr>
        <w:tabs>
          <w:tab w:val="num" w:pos="0"/>
        </w:tabs>
        <w:ind w:left="2923" w:hanging="360"/>
      </w:pPr>
      <w:rPr>
        <w:rFonts w:ascii="Symbol" w:hAnsi="Symbol" w:cs="Symbol" w:hint="default"/>
      </w:rPr>
    </w:lvl>
    <w:lvl w:ilvl="4">
      <w:start w:val="1"/>
      <w:numFmt w:val="bullet"/>
      <w:lvlText w:val="o"/>
      <w:lvlJc w:val="left"/>
      <w:pPr>
        <w:tabs>
          <w:tab w:val="num" w:pos="0"/>
        </w:tabs>
        <w:ind w:left="3643" w:hanging="360"/>
      </w:pPr>
      <w:rPr>
        <w:rFonts w:ascii="Courier New" w:hAnsi="Courier New" w:cs="Courier New" w:hint="default"/>
      </w:rPr>
    </w:lvl>
    <w:lvl w:ilvl="5">
      <w:start w:val="1"/>
      <w:numFmt w:val="bullet"/>
      <w:lvlText w:val=""/>
      <w:lvlJc w:val="left"/>
      <w:pPr>
        <w:tabs>
          <w:tab w:val="num" w:pos="0"/>
        </w:tabs>
        <w:ind w:left="4363" w:hanging="360"/>
      </w:pPr>
      <w:rPr>
        <w:rFonts w:ascii="Wingdings" w:hAnsi="Wingdings" w:cs="Wingdings" w:hint="default"/>
      </w:rPr>
    </w:lvl>
    <w:lvl w:ilvl="6">
      <w:start w:val="1"/>
      <w:numFmt w:val="bullet"/>
      <w:lvlText w:val=""/>
      <w:lvlJc w:val="left"/>
      <w:pPr>
        <w:tabs>
          <w:tab w:val="num" w:pos="0"/>
        </w:tabs>
        <w:ind w:left="5083" w:hanging="360"/>
      </w:pPr>
      <w:rPr>
        <w:rFonts w:ascii="Symbol" w:hAnsi="Symbol" w:cs="Symbol" w:hint="default"/>
      </w:rPr>
    </w:lvl>
    <w:lvl w:ilvl="7">
      <w:start w:val="1"/>
      <w:numFmt w:val="bullet"/>
      <w:lvlText w:val="o"/>
      <w:lvlJc w:val="left"/>
      <w:pPr>
        <w:tabs>
          <w:tab w:val="num" w:pos="0"/>
        </w:tabs>
        <w:ind w:left="5803" w:hanging="360"/>
      </w:pPr>
      <w:rPr>
        <w:rFonts w:ascii="Courier New" w:hAnsi="Courier New" w:cs="Courier New" w:hint="default"/>
      </w:rPr>
    </w:lvl>
    <w:lvl w:ilvl="8">
      <w:start w:val="1"/>
      <w:numFmt w:val="bullet"/>
      <w:lvlText w:val=""/>
      <w:lvlJc w:val="left"/>
      <w:pPr>
        <w:tabs>
          <w:tab w:val="num" w:pos="0"/>
        </w:tabs>
        <w:ind w:left="6523" w:hanging="360"/>
      </w:pPr>
      <w:rPr>
        <w:rFonts w:ascii="Wingdings" w:hAnsi="Wingdings" w:cs="Wingdings" w:hint="default"/>
      </w:rPr>
    </w:lvl>
  </w:abstractNum>
  <w:abstractNum w:abstractNumId="4" w15:restartNumberingAfterBreak="0">
    <w:nsid w:val="79E47CC5"/>
    <w:multiLevelType w:val="multilevel"/>
    <w:tmpl w:val="E4423C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498299">
    <w:abstractNumId w:val="1"/>
  </w:num>
  <w:num w:numId="2" w16cid:durableId="1471628130">
    <w:abstractNumId w:val="2"/>
  </w:num>
  <w:num w:numId="3" w16cid:durableId="1678579413">
    <w:abstractNumId w:val="0"/>
  </w:num>
  <w:num w:numId="4" w16cid:durableId="911550404">
    <w:abstractNumId w:val="3"/>
  </w:num>
  <w:num w:numId="5" w16cid:durableId="419369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EA1"/>
    <w:rsid w:val="001B2B2A"/>
    <w:rsid w:val="00203EA1"/>
    <w:rsid w:val="004957A8"/>
    <w:rsid w:val="005C4C0C"/>
    <w:rsid w:val="006C04BA"/>
    <w:rsid w:val="00826852"/>
    <w:rsid w:val="00DA3D05"/>
    <w:rsid w:val="00EB304B"/>
    <w:rsid w:val="00F565C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E6658"/>
  <w15:docId w15:val="{B9560B7E-0F3C-4725-9480-D3E38F6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5"/>
    <w:pPr>
      <w:spacing w:after="15" w:line="264" w:lineRule="auto"/>
      <w:ind w:left="5" w:right="38" w:hanging="5"/>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F13035"/>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rsid w:val="00F13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13035"/>
    <w:rPr>
      <w:rFonts w:ascii="Times New Roman" w:eastAsia="Times New Roman" w:hAnsi="Times New Roman" w:cs="Times New Roman"/>
      <w:b/>
      <w:color w:val="000000"/>
      <w:sz w:val="28"/>
      <w:lang w:eastAsia="pl-PL"/>
    </w:rPr>
  </w:style>
  <w:style w:type="character" w:customStyle="1" w:styleId="AkapitzlistZnak">
    <w:name w:val="Akapit z listą Znak"/>
    <w:link w:val="Akapitzlist"/>
    <w:uiPriority w:val="34"/>
    <w:qFormat/>
    <w:locked/>
    <w:rsid w:val="00F13035"/>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qFormat/>
    <w:rsid w:val="00F13035"/>
    <w:rPr>
      <w:rFonts w:asciiTheme="majorHAnsi" w:eastAsiaTheme="majorEastAsia" w:hAnsiTheme="majorHAnsi" w:cstheme="majorBidi"/>
      <w:color w:val="2F5496" w:themeColor="accent1" w:themeShade="BF"/>
      <w:sz w:val="26"/>
      <w:szCs w:val="26"/>
      <w:lang w:eastAsia="pl-PL"/>
    </w:rPr>
  </w:style>
  <w:style w:type="character" w:customStyle="1" w:styleId="NagwekZnak">
    <w:name w:val="Nagłówek Znak"/>
    <w:basedOn w:val="Domylnaczcionkaakapitu"/>
    <w:link w:val="Nagwek"/>
    <w:uiPriority w:val="99"/>
    <w:qFormat/>
    <w:rsid w:val="002A3049"/>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2A3049"/>
    <w:rPr>
      <w:rFonts w:ascii="Times New Roman" w:eastAsia="Times New Roman" w:hAnsi="Times New Roman" w:cs="Times New Roman"/>
      <w:color w:val="000000"/>
      <w:sz w:val="24"/>
      <w:lang w:eastAsia="pl-PL"/>
    </w:rPr>
  </w:style>
  <w:style w:type="paragraph" w:styleId="Nagwek">
    <w:name w:val="header"/>
    <w:basedOn w:val="Normalny"/>
    <w:next w:val="Tekstpodstawowy"/>
    <w:link w:val="NagwekZnak"/>
    <w:uiPriority w:val="99"/>
    <w:unhideWhenUsed/>
    <w:rsid w:val="002A304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99"/>
    <w:qFormat/>
    <w:rsid w:val="00F13035"/>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A3049"/>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1524</Words>
  <Characters>9150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Karpiński</dc:creator>
  <dc:description/>
  <cp:lastModifiedBy>Monika Wróblewska</cp:lastModifiedBy>
  <cp:revision>11</cp:revision>
  <dcterms:created xsi:type="dcterms:W3CDTF">2022-08-04T09:13:00Z</dcterms:created>
  <dcterms:modified xsi:type="dcterms:W3CDTF">2022-10-03T10:54:00Z</dcterms:modified>
  <dc:language>pl-PL</dc:language>
</cp:coreProperties>
</file>