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7530" w14:textId="77777777" w:rsidR="004438EA" w:rsidRDefault="004438EA" w:rsidP="004438EA">
      <w:pPr>
        <w:pStyle w:val="Standard"/>
        <w:rPr>
          <w:rFonts w:eastAsia="Times New Roman" w:cs="Times New Roman"/>
          <w:b/>
          <w:bCs/>
          <w:sz w:val="32"/>
          <w:szCs w:val="28"/>
          <w:lang w:eastAsia="ar-SA" w:bidi="ar-SA"/>
        </w:rPr>
      </w:pPr>
      <w:proofErr w:type="spellStart"/>
      <w:r>
        <w:rPr>
          <w:rFonts w:eastAsia="Times New Roman" w:cs="Times New Roman"/>
          <w:b/>
          <w:bCs/>
          <w:sz w:val="32"/>
          <w:szCs w:val="28"/>
          <w:lang w:eastAsia="ar-SA" w:bidi="ar-SA"/>
        </w:rPr>
        <w:t>Zał</w:t>
      </w:r>
      <w:proofErr w:type="spellEnd"/>
      <w:r>
        <w:rPr>
          <w:rFonts w:eastAsia="Times New Roman" w:cs="Times New Roman"/>
          <w:b/>
          <w:bCs/>
          <w:sz w:val="32"/>
          <w:szCs w:val="28"/>
          <w:lang w:eastAsia="ar-SA" w:bidi="ar-SA"/>
        </w:rPr>
        <w:t xml:space="preserve"> nr 5</w:t>
      </w:r>
    </w:p>
    <w:p w14:paraId="46FDAEAB" w14:textId="77777777" w:rsidR="004438EA" w:rsidRDefault="004438EA" w:rsidP="004438EA">
      <w:pPr>
        <w:pStyle w:val="Standard"/>
        <w:rPr>
          <w:rFonts w:eastAsia="Times New Roman" w:cs="Times New Roman"/>
          <w:b/>
          <w:bCs/>
          <w:sz w:val="32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32"/>
          <w:szCs w:val="28"/>
          <w:lang w:eastAsia="ar-SA" w:bidi="ar-SA"/>
        </w:rPr>
        <w:t xml:space="preserve">Wymagania dotyczące analizatora </w:t>
      </w:r>
      <w:proofErr w:type="spellStart"/>
      <w:r>
        <w:rPr>
          <w:rFonts w:eastAsia="Times New Roman" w:cs="Times New Roman"/>
          <w:b/>
          <w:bCs/>
          <w:sz w:val="32"/>
          <w:szCs w:val="28"/>
          <w:lang w:eastAsia="ar-SA" w:bidi="ar-SA"/>
        </w:rPr>
        <w:t>koagulologicznego</w:t>
      </w:r>
      <w:proofErr w:type="spellEnd"/>
      <w:r>
        <w:rPr>
          <w:rFonts w:eastAsia="Times New Roman" w:cs="Times New Roman"/>
          <w:b/>
          <w:bCs/>
          <w:sz w:val="32"/>
          <w:szCs w:val="28"/>
          <w:lang w:eastAsia="ar-SA" w:bidi="ar-SA"/>
        </w:rPr>
        <w:t xml:space="preserve"> i odczynników 3/2022.</w:t>
      </w:r>
    </w:p>
    <w:p w14:paraId="0D22B642" w14:textId="77777777" w:rsidR="004438EA" w:rsidRPr="00E461AE" w:rsidRDefault="004438EA" w:rsidP="004438EA">
      <w:pPr>
        <w:rPr>
          <w:lang w:eastAsia="ar-SA" w:bidi="ar-SA"/>
        </w:rPr>
      </w:pPr>
    </w:p>
    <w:p w14:paraId="07B6B72E" w14:textId="77777777" w:rsidR="004438EA" w:rsidRPr="00E461AE" w:rsidRDefault="004438EA" w:rsidP="004438EA">
      <w:pPr>
        <w:jc w:val="right"/>
        <w:rPr>
          <w:lang w:eastAsia="ar-SA" w:bidi="ar-SA"/>
        </w:rPr>
      </w:pPr>
    </w:p>
    <w:tbl>
      <w:tblPr>
        <w:tblpPr w:leftFromText="141" w:rightFromText="141" w:vertAnchor="text" w:tblpY="1"/>
        <w:tblOverlap w:val="never"/>
        <w:tblW w:w="140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9570"/>
        <w:gridCol w:w="3404"/>
      </w:tblGrid>
      <w:tr w:rsidR="004438EA" w14:paraId="507377E3" w14:textId="77777777" w:rsidTr="00A41BB0">
        <w:trPr>
          <w:tblHeader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E11D7" w14:textId="77777777" w:rsidR="004438EA" w:rsidRDefault="004438EA" w:rsidP="00A41BB0">
            <w:pPr>
              <w:pStyle w:val="TableHeading"/>
              <w:snapToGrid w:val="0"/>
            </w:pPr>
            <w:r>
              <w:t>LP</w:t>
            </w:r>
          </w:p>
        </w:tc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F2C70" w14:textId="77777777" w:rsidR="004438EA" w:rsidRDefault="004438EA" w:rsidP="00A41BB0">
            <w:pPr>
              <w:pStyle w:val="TableHeading"/>
              <w:snapToGrid w:val="0"/>
            </w:pPr>
            <w:r>
              <w:t>Wymagane parametry graniczne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89B89" w14:textId="77777777" w:rsidR="004438EA" w:rsidRDefault="004438EA" w:rsidP="00A41BB0">
            <w:pPr>
              <w:pStyle w:val="TableHeading"/>
              <w:snapToGrid w:val="0"/>
            </w:pPr>
            <w:r>
              <w:t>Potwierdzenie spełnienia wymaganych parametrów TAK</w:t>
            </w:r>
          </w:p>
        </w:tc>
      </w:tr>
      <w:tr w:rsidR="004438EA" w14:paraId="42B967BA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B243E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A4421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Analizator nowy lub używany, ale nie starszy niż z 2018 roku, w pełni zautomatyzowany pracujący metodami </w:t>
            </w:r>
            <w:proofErr w:type="spellStart"/>
            <w:r>
              <w:rPr>
                <w:rFonts w:eastAsia="Times New Roman" w:cs="Times New Roman"/>
                <w:lang w:bidi="ar-SA"/>
              </w:rPr>
              <w:t>krzepnięciowymi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bidi="ar-SA"/>
              </w:rPr>
              <w:t>chromogennymi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 oraz immunologicznymi.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46527" w14:textId="77777777" w:rsidR="004438EA" w:rsidRDefault="004438EA" w:rsidP="00A41BB0">
            <w:pPr>
              <w:pStyle w:val="TableContents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TAK</w:t>
            </w:r>
          </w:p>
        </w:tc>
      </w:tr>
      <w:tr w:rsidR="004438EA" w14:paraId="6358F193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D2D40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2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DD28F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Optyczny odczyt metod </w:t>
            </w:r>
            <w:proofErr w:type="spellStart"/>
            <w:r>
              <w:rPr>
                <w:rFonts w:eastAsia="Times New Roman" w:cs="Times New Roman"/>
                <w:lang w:bidi="ar-SA"/>
              </w:rPr>
              <w:t>krzepnięciowych</w:t>
            </w:r>
            <w:proofErr w:type="spellEnd"/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37769" w14:textId="77777777" w:rsidR="004438EA" w:rsidRDefault="004438EA" w:rsidP="00A41BB0">
            <w:pPr>
              <w:pStyle w:val="TableContents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TAK</w:t>
            </w:r>
          </w:p>
        </w:tc>
      </w:tr>
      <w:tr w:rsidR="004438EA" w14:paraId="7F52E659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88D1C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3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A5CEA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Analizator i odczynniki mają pochodzić od tego samego producenta.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4C82" w14:textId="77777777" w:rsidR="004438EA" w:rsidRDefault="004438EA" w:rsidP="00A41BB0">
            <w:pPr>
              <w:pStyle w:val="TableContents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TAK</w:t>
            </w:r>
          </w:p>
        </w:tc>
      </w:tr>
      <w:tr w:rsidR="004438EA" w14:paraId="6F1710B3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DD58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4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739EF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Możliwość wykonania badań pilnych w trakcie pracy analizatora- w dowolnym momencie i z dowolnej pozycji.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64BCF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39B41B2E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8E53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5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E431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Wydajność analizatora dla PT i APTT  min 100 testów na godzinę.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6DDB5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389EBBB5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396EB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6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18A1D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Możliwość załadunku, wyładunku odczynników i kuwet w trakcie pracy analizatora.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6516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2020DA05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E9DE" w14:textId="77777777" w:rsidR="004438EA" w:rsidRDefault="004438EA" w:rsidP="00A41BB0">
            <w:pPr>
              <w:pStyle w:val="TableContents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7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FBEB2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Możliwość dolecenia badań w danej próbce w trakcie jej analizy z możliwością przeprogramowania próby badanej z rutynowej na pilną.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36C5B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1A2FF5C6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8A824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8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73B02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Rutynowo wykonanie badań z próbki pierwotnej 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6B9B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3C0B8CA3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465F3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9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FDE3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Detektor skrzepu w badanej próbce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3A270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58DCCAA7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F1D10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10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AAC1B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Analizator wyposażony w automatyczny przebijak korków do probówek typu próżniowego systemu zamkniętego.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9519E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126955B6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419C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11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CC874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Automatyczne rozcieńczanie próbek w razie przekroczenia zakresu pomiarowego metody. Uruchomienie automatycznego rozcieńczenia musi dotyczyć tylko próbek badanych w których jest ono niezbędne ( przekroczony podstawowy zakres pomiarowy).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2C842" w14:textId="77777777" w:rsidR="004438EA" w:rsidRDefault="004438EA" w:rsidP="00A41BB0">
            <w:pPr>
              <w:pStyle w:val="Standard"/>
              <w:snapToGrid w:val="0"/>
            </w:pPr>
            <w:r>
              <w:t>TAK</w:t>
            </w:r>
          </w:p>
        </w:tc>
      </w:tr>
      <w:tr w:rsidR="004438EA" w14:paraId="39E864BC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9D066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12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CDC7C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Czujnik poziomu próbki i odczynników.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3253C" w14:textId="77777777" w:rsidR="004438EA" w:rsidRDefault="004438EA" w:rsidP="00A41BB0">
            <w:pPr>
              <w:pStyle w:val="Standard"/>
              <w:snapToGrid w:val="0"/>
            </w:pPr>
            <w:r>
              <w:t>TAK</w:t>
            </w:r>
          </w:p>
        </w:tc>
      </w:tr>
      <w:tr w:rsidR="004438EA" w14:paraId="46454C8D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D568B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13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DC898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Osobne igły do pipetowania próbek i odczynników.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4E9B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1A4EB2B6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6988F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14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78FE7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Chłodzenie odczynników na pokładzie.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83E67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:rsidRPr="00243210" w14:paraId="2BEE8A12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AB9EC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15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6959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Monitoring zużycia odczynników- podawanie objętości i ilości testów możliwych do wykonania z </w:t>
            </w:r>
            <w:r>
              <w:rPr>
                <w:rFonts w:eastAsia="Times New Roman" w:cs="Times New Roman"/>
                <w:lang w:bidi="ar-SA"/>
              </w:rPr>
              <w:lastRenderedPageBreak/>
              <w:t>załadowanych odczynników.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7AA2" w14:textId="77777777" w:rsidR="004438EA" w:rsidRDefault="004438EA" w:rsidP="00A41BB0">
            <w:pPr>
              <w:pStyle w:val="TableContents"/>
              <w:snapToGrid w:val="0"/>
            </w:pPr>
            <w:r>
              <w:lastRenderedPageBreak/>
              <w:t>TAK</w:t>
            </w:r>
          </w:p>
        </w:tc>
      </w:tr>
      <w:tr w:rsidR="004438EA" w14:paraId="4C1DB346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399B2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16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349B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Oprogramowanie analizatora pracujące w systemie Windows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AEA5C" w14:textId="77777777" w:rsidR="004438EA" w:rsidRDefault="004438EA" w:rsidP="00A41BB0">
            <w:pPr>
              <w:pStyle w:val="TableContents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TAK</w:t>
            </w:r>
          </w:p>
        </w:tc>
      </w:tr>
      <w:tr w:rsidR="004438EA" w14:paraId="1B638167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54D4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17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1F09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Aparat wyposażony w wewnętrzny czytnik kodów kreskowych do próbek i do odczynników zapewniający jednoczesny odczyt wszystkich wkładanych materiałów ( nie dopuszcza się manualnego skanowania materiałów)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63D4" w14:textId="77777777" w:rsidR="004438EA" w:rsidRDefault="004438EA" w:rsidP="00A41BB0">
            <w:pPr>
              <w:pStyle w:val="TableContents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TAK</w:t>
            </w:r>
          </w:p>
        </w:tc>
      </w:tr>
      <w:tr w:rsidR="004438EA" w14:paraId="2D4717C2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80789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18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F8AC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Analizator wyposażony w UPS.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B985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57C75CC0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2B72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19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7035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Wymagana rekombinowana tromboplastyna ludzka o ISI 1,0  (+/- 0,1) bez zawartości substancji kancerogennych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F7926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0723BEA9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E2990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20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3DCB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Możliwość oznaczania fibrynogenu zarówno na podstawie czasu </w:t>
            </w:r>
            <w:proofErr w:type="spellStart"/>
            <w:r>
              <w:rPr>
                <w:rFonts w:eastAsia="Times New Roman" w:cs="Times New Roman"/>
                <w:lang w:bidi="ar-SA"/>
              </w:rPr>
              <w:t>protrombinowego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 jak i klasyczną metodą </w:t>
            </w:r>
            <w:proofErr w:type="spellStart"/>
            <w:r>
              <w:rPr>
                <w:rFonts w:eastAsia="Times New Roman" w:cs="Times New Roman"/>
                <w:lang w:bidi="ar-SA"/>
              </w:rPr>
              <w:t>Claussa</w:t>
            </w:r>
            <w:proofErr w:type="spellEnd"/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895B4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464125B4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0994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21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A355E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Test do D-Dimerów posiadający certyfikat o możliwości jego zastosowania do wykluczenia  żylnej choroby zatorowo- zakrzepowej i zatoru płuc.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E3416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68874E0F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05204" w14:textId="77777777" w:rsidR="004438EA" w:rsidRDefault="004438EA" w:rsidP="00A41BB0">
            <w:pPr>
              <w:pStyle w:val="TableContents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22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7454F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Liniowość D-Dimerów min. 7000 </w:t>
            </w:r>
            <w:proofErr w:type="spellStart"/>
            <w:r>
              <w:rPr>
                <w:rFonts w:eastAsia="Times New Roman" w:cs="Times New Roman"/>
                <w:lang w:bidi="ar-SA"/>
              </w:rPr>
              <w:t>ng</w:t>
            </w:r>
            <w:proofErr w:type="spellEnd"/>
            <w:r>
              <w:rPr>
                <w:rFonts w:eastAsia="Times New Roman" w:cs="Times New Roman"/>
                <w:lang w:bidi="ar-SA"/>
              </w:rPr>
              <w:t>/ml w pierwszym oznaczeniu.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ACA14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65584518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8BC3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23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8A69" w14:textId="77777777" w:rsidR="004438EA" w:rsidRDefault="004438EA" w:rsidP="00A41BB0">
            <w:pPr>
              <w:pStyle w:val="TableContents"/>
              <w:snapToGrid w:val="0"/>
            </w:pPr>
            <w:r>
              <w:rPr>
                <w:rFonts w:eastAsia="Times New Roman" w:cs="Times New Roman"/>
                <w:lang w:bidi="ar-SA"/>
              </w:rPr>
              <w:t xml:space="preserve">Połączenie </w:t>
            </w:r>
            <w:r>
              <w:rPr>
                <w:lang w:bidi="ar-SA"/>
              </w:rPr>
              <w:t xml:space="preserve">oferowanego analizatora z systemem informatycznym </w:t>
            </w:r>
            <w:proofErr w:type="spellStart"/>
            <w:r>
              <w:rPr>
                <w:lang w:bidi="ar-SA"/>
              </w:rPr>
              <w:t>InfoMedica</w:t>
            </w:r>
            <w:proofErr w:type="spellEnd"/>
            <w:r>
              <w:rPr>
                <w:lang w:bidi="ar-SA"/>
              </w:rPr>
              <w:t>, dwukierunkowa transmisja danych. Koszt ponosi wykonawca w ramach realizacji przedmiotowej umowy.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ABE6D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2A27D342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FA056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24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6A4F6" w14:textId="77777777" w:rsidR="004438EA" w:rsidRDefault="004438EA" w:rsidP="00A41BB0">
            <w:pPr>
              <w:pStyle w:val="TableContents"/>
              <w:snapToGrid w:val="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W przypadku niedoszacowanie przez Wykonawcę właściwych ilości materiałów zużywalnych, koszty dodatkowych materiałów ponosi Wykonawca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3412B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1F627B9C" w14:textId="77777777" w:rsidTr="00A41BB0"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4D23" w14:textId="77777777" w:rsidR="004438EA" w:rsidRDefault="004438EA" w:rsidP="00A41BB0">
            <w:pPr>
              <w:pStyle w:val="TableContents"/>
              <w:snapToGrid w:val="0"/>
              <w:jc w:val="center"/>
            </w:pPr>
            <w:r>
              <w:t>25</w:t>
            </w:r>
          </w:p>
        </w:tc>
        <w:tc>
          <w:tcPr>
            <w:tcW w:w="9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C2077" w14:textId="77777777" w:rsidR="004438EA" w:rsidRDefault="004438EA" w:rsidP="00A41BB0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  <w:bookmarkStart w:id="0" w:name="_Hlk97278427"/>
            <w:r>
              <w:rPr>
                <w:rFonts w:eastAsia="Times New Roman" w:cs="Times New Roman"/>
                <w:lang w:bidi="ar-SA"/>
              </w:rPr>
              <w:t xml:space="preserve">Instrukcja obsługi analizatora, karty charakterystyki, deklaracje CE i ulotki do wszystkich zaoferowanych odczynników, </w:t>
            </w:r>
            <w:proofErr w:type="spellStart"/>
            <w:r>
              <w:rPr>
                <w:rFonts w:eastAsia="Times New Roman" w:cs="Times New Roman"/>
                <w:lang w:bidi="ar-SA"/>
              </w:rPr>
              <w:t>kalibratorów,i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 kontroli w języku polskim </w:t>
            </w:r>
            <w:bookmarkEnd w:id="0"/>
            <w:r>
              <w:rPr>
                <w:rFonts w:eastAsia="Times New Roman" w:cs="Times New Roman"/>
                <w:lang w:bidi="ar-SA"/>
              </w:rPr>
              <w:t xml:space="preserve">w wersji drukowanej przy pierwszej dostawie. </w:t>
            </w:r>
            <w:r>
              <w:rPr>
                <w:rFonts w:eastAsia="Times New Roman" w:cs="Times New Roman"/>
                <w:lang w:bidi="ar-SA"/>
              </w:rPr>
              <w:tab/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64C85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</w:tbl>
    <w:p w14:paraId="202CDBBA" w14:textId="77777777" w:rsidR="004438EA" w:rsidRDefault="004438EA" w:rsidP="004438EA">
      <w:pPr>
        <w:pStyle w:val="Standard"/>
      </w:pPr>
      <w:r>
        <w:br w:type="textWrapping" w:clear="all"/>
      </w:r>
    </w:p>
    <w:p w14:paraId="73F6300E" w14:textId="13036802" w:rsidR="004438EA" w:rsidRDefault="004438EA" w:rsidP="004438EA">
      <w:pPr>
        <w:pStyle w:val="Standard"/>
        <w:rPr>
          <w:rFonts w:eastAsia="Times New Roman" w:cs="Times New Roman"/>
          <w:sz w:val="28"/>
          <w:szCs w:val="28"/>
          <w:lang w:eastAsia="ar-SA" w:bidi="ar-SA"/>
        </w:rPr>
      </w:pPr>
    </w:p>
    <w:p w14:paraId="04B9CD4D" w14:textId="6705BBC4" w:rsidR="00015BE8" w:rsidRDefault="00015BE8" w:rsidP="004438EA">
      <w:pPr>
        <w:pStyle w:val="Standard"/>
        <w:rPr>
          <w:rFonts w:eastAsia="Times New Roman" w:cs="Times New Roman"/>
          <w:sz w:val="28"/>
          <w:szCs w:val="28"/>
          <w:lang w:eastAsia="ar-SA" w:bidi="ar-SA"/>
        </w:rPr>
      </w:pPr>
    </w:p>
    <w:p w14:paraId="62014244" w14:textId="65581267" w:rsidR="00015BE8" w:rsidRDefault="00015BE8" w:rsidP="004438EA">
      <w:pPr>
        <w:pStyle w:val="Standard"/>
        <w:rPr>
          <w:rFonts w:eastAsia="Times New Roman" w:cs="Times New Roman"/>
          <w:sz w:val="28"/>
          <w:szCs w:val="28"/>
          <w:lang w:eastAsia="ar-SA" w:bidi="ar-SA"/>
        </w:rPr>
      </w:pPr>
    </w:p>
    <w:p w14:paraId="7EC6E23D" w14:textId="2EE242C9" w:rsidR="00015BE8" w:rsidRDefault="00015BE8" w:rsidP="004438EA">
      <w:pPr>
        <w:pStyle w:val="Standard"/>
        <w:rPr>
          <w:rFonts w:eastAsia="Times New Roman" w:cs="Times New Roman"/>
          <w:sz w:val="28"/>
          <w:szCs w:val="28"/>
          <w:lang w:eastAsia="ar-SA" w:bidi="ar-SA"/>
        </w:rPr>
      </w:pPr>
    </w:p>
    <w:p w14:paraId="3928DFFA" w14:textId="77777777" w:rsidR="00015BE8" w:rsidRDefault="00015BE8" w:rsidP="004438EA">
      <w:pPr>
        <w:pStyle w:val="Standard"/>
        <w:rPr>
          <w:rFonts w:eastAsia="Times New Roman" w:cs="Times New Roman"/>
          <w:sz w:val="28"/>
          <w:szCs w:val="28"/>
          <w:lang w:eastAsia="ar-SA" w:bidi="ar-SA"/>
        </w:rPr>
      </w:pPr>
    </w:p>
    <w:p w14:paraId="469E7FD9" w14:textId="77777777" w:rsidR="004438EA" w:rsidRDefault="004438EA" w:rsidP="004438EA">
      <w:pPr>
        <w:pStyle w:val="Standard"/>
      </w:pPr>
      <w:r>
        <w:rPr>
          <w:rFonts w:ascii="Arial" w:hAnsi="Arial" w:cs="Arial"/>
          <w:b/>
          <w:bCs/>
          <w:sz w:val="28"/>
          <w:szCs w:val="28"/>
        </w:rPr>
        <w:lastRenderedPageBreak/>
        <w:t>Warunki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gwarancji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serwisu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dla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oferowanego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analizatora:</w:t>
      </w:r>
    </w:p>
    <w:p w14:paraId="499B7DED" w14:textId="77777777" w:rsidR="004438EA" w:rsidRDefault="004438EA" w:rsidP="004438EA">
      <w:pPr>
        <w:pStyle w:val="Standard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14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1566"/>
        <w:gridCol w:w="2012"/>
      </w:tblGrid>
      <w:tr w:rsidR="004438EA" w14:paraId="298E2F8B" w14:textId="77777777" w:rsidTr="00A41BB0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ABB9F" w14:textId="77777777" w:rsidR="004438EA" w:rsidRDefault="004438EA" w:rsidP="00A41BB0">
            <w:pPr>
              <w:pStyle w:val="TableContents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1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CAA64" w14:textId="77777777" w:rsidR="004438EA" w:rsidRDefault="004438EA" w:rsidP="00A41BB0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Wymagane warunki gwarancji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79E6" w14:textId="77777777" w:rsidR="004438EA" w:rsidRDefault="004438EA" w:rsidP="00A41BB0">
            <w:pPr>
              <w:pStyle w:val="TableContents"/>
              <w:snapToGrid w:val="0"/>
              <w:rPr>
                <w:b/>
                <w:bCs/>
              </w:rPr>
            </w:pPr>
          </w:p>
        </w:tc>
      </w:tr>
      <w:tr w:rsidR="004438EA" w14:paraId="178E79CE" w14:textId="77777777" w:rsidTr="00A41BB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2B54F" w14:textId="77777777" w:rsidR="004438EA" w:rsidRDefault="004438EA" w:rsidP="00A41BB0">
            <w:pPr>
              <w:pStyle w:val="TableContents"/>
              <w:snapToGrid w:val="0"/>
            </w:pPr>
            <w:r>
              <w:t>1.</w:t>
            </w:r>
          </w:p>
        </w:tc>
        <w:tc>
          <w:tcPr>
            <w:tcW w:w="11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276AC" w14:textId="77777777" w:rsidR="004438EA" w:rsidRDefault="004438EA" w:rsidP="00A41BB0">
            <w:pPr>
              <w:pStyle w:val="TableContents"/>
              <w:snapToGrid w:val="0"/>
            </w:pPr>
            <w:r>
              <w:t>Pełna gwarancja na czas trwania umowy dzierżawy.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73E9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670C87D9" w14:textId="77777777" w:rsidTr="00A41BB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3843D" w14:textId="77777777" w:rsidR="004438EA" w:rsidRDefault="004438EA" w:rsidP="00A41BB0">
            <w:pPr>
              <w:pStyle w:val="TableContents"/>
              <w:snapToGrid w:val="0"/>
            </w:pPr>
            <w:r>
              <w:t>2.</w:t>
            </w:r>
          </w:p>
        </w:tc>
        <w:tc>
          <w:tcPr>
            <w:tcW w:w="11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FF09" w14:textId="77777777" w:rsidR="004438EA" w:rsidRDefault="004438EA" w:rsidP="00A41BB0">
            <w:pPr>
              <w:pStyle w:val="Standard"/>
              <w:snapToGrid w:val="0"/>
            </w:pPr>
            <w:r>
              <w:t>Szkolenie personelu w siedzibie Zamawiającego z potwierdzeniem pisemnym przeprowadzonego szkolenia, w terminie min 14 dni od daty podpisania umowy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E52B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10D94520" w14:textId="77777777" w:rsidTr="00A41BB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478E1" w14:textId="77777777" w:rsidR="004438EA" w:rsidRDefault="004438EA" w:rsidP="00A41BB0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11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E42E8" w14:textId="77777777" w:rsidR="004438EA" w:rsidRDefault="004438EA" w:rsidP="00A41BB0">
            <w:pPr>
              <w:pStyle w:val="Standard"/>
              <w:snapToGrid w:val="0"/>
            </w:pPr>
            <w:r>
              <w:t>Instalacja analizatora na blacie o szerokości 60 cm w istniejącej zabudowie meblowej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78BA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4C19EBC7" w14:textId="77777777" w:rsidTr="00A41BB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D9006" w14:textId="77777777" w:rsidR="004438EA" w:rsidRDefault="004438EA" w:rsidP="00A41BB0">
            <w:pPr>
              <w:pStyle w:val="TableContents"/>
              <w:snapToGrid w:val="0"/>
            </w:pPr>
            <w:r>
              <w:t>4</w:t>
            </w:r>
          </w:p>
        </w:tc>
        <w:tc>
          <w:tcPr>
            <w:tcW w:w="11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2740" w14:textId="77777777" w:rsidR="004438EA" w:rsidRDefault="004438EA" w:rsidP="00A41BB0">
            <w:pPr>
              <w:pStyle w:val="Standard"/>
              <w:snapToGrid w:val="0"/>
            </w:pPr>
            <w:r>
              <w:t>Możliwość zgłoszenia awarii 24h/dobę/365 dni w roku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D7979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14CB9B86" w14:textId="77777777" w:rsidTr="00A41BB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6FC73" w14:textId="77777777" w:rsidR="004438EA" w:rsidRDefault="004438EA" w:rsidP="00A41BB0">
            <w:pPr>
              <w:pStyle w:val="TableContents"/>
              <w:snapToGrid w:val="0"/>
            </w:pPr>
            <w:r>
              <w:t>5</w:t>
            </w:r>
          </w:p>
        </w:tc>
        <w:tc>
          <w:tcPr>
            <w:tcW w:w="11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F8260" w14:textId="77777777" w:rsidR="004438EA" w:rsidRDefault="004438EA" w:rsidP="00A41BB0">
            <w:pPr>
              <w:pStyle w:val="Standard"/>
              <w:snapToGrid w:val="0"/>
            </w:pPr>
            <w:r>
              <w:t>Maksymalny czas usunięcia awarii do 24 godzin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5200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38233044" w14:textId="77777777" w:rsidTr="00A41BB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A2F21" w14:textId="77777777" w:rsidR="004438EA" w:rsidRDefault="004438EA" w:rsidP="00A41BB0">
            <w:pPr>
              <w:pStyle w:val="TableContents"/>
              <w:snapToGrid w:val="0"/>
            </w:pPr>
            <w:r>
              <w:t>6</w:t>
            </w:r>
          </w:p>
        </w:tc>
        <w:tc>
          <w:tcPr>
            <w:tcW w:w="11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01D2" w14:textId="77777777" w:rsidR="004438EA" w:rsidRDefault="004438EA" w:rsidP="00A41BB0">
            <w:pPr>
              <w:pStyle w:val="Standard"/>
              <w:snapToGrid w:val="0"/>
            </w:pPr>
            <w:r>
              <w:t xml:space="preserve">W razie braku możliwości usunięcia awarii powyżej 72 godzin Wykonawca wymienia analizator na sprawny, do tego czasu zapewni wykonanie badań na własny koszt w innym laboratorium czynnym 24 </w:t>
            </w:r>
            <w:proofErr w:type="spellStart"/>
            <w:r>
              <w:t>godz</w:t>
            </w:r>
            <w:proofErr w:type="spellEnd"/>
            <w:r>
              <w:t xml:space="preserve">/dobę. Wyniki do odbioru w ciągu 6 </w:t>
            </w:r>
            <w:proofErr w:type="spellStart"/>
            <w:r>
              <w:t>godz</w:t>
            </w:r>
            <w:proofErr w:type="spellEnd"/>
            <w:r>
              <w:t xml:space="preserve"> od momentu dostarczenia próbki.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5A04C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42D19315" w14:textId="77777777" w:rsidTr="00A41BB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846F" w14:textId="77777777" w:rsidR="004438EA" w:rsidRDefault="004438EA" w:rsidP="00A41BB0">
            <w:pPr>
              <w:pStyle w:val="TableContents"/>
              <w:snapToGrid w:val="0"/>
            </w:pPr>
            <w:r>
              <w:t>7</w:t>
            </w:r>
          </w:p>
        </w:tc>
        <w:tc>
          <w:tcPr>
            <w:tcW w:w="11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86719" w14:textId="77777777" w:rsidR="004438EA" w:rsidRDefault="004438EA" w:rsidP="00A41BB0">
            <w:pPr>
              <w:pStyle w:val="Standard"/>
              <w:snapToGrid w:val="0"/>
            </w:pPr>
            <w:r>
              <w:t>Przeglądy gwarancyjne zgodnie z wymogami producenta ( podać ilość przeglądów na rok w tabeli „ Tak”) nie rzadziej niż 1 raz w roku.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FC94" w14:textId="77777777" w:rsidR="004438EA" w:rsidRDefault="004438EA" w:rsidP="00A41BB0">
            <w:pPr>
              <w:pStyle w:val="TableContents"/>
              <w:snapToGrid w:val="0"/>
            </w:pPr>
            <w:r>
              <w:t>TAK …………….</w:t>
            </w:r>
          </w:p>
        </w:tc>
      </w:tr>
      <w:tr w:rsidR="004438EA" w14:paraId="1A510967" w14:textId="77777777" w:rsidTr="00A41BB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453E2" w14:textId="77777777" w:rsidR="004438EA" w:rsidRDefault="004438EA" w:rsidP="00A41BB0">
            <w:pPr>
              <w:pStyle w:val="TableContents"/>
              <w:snapToGrid w:val="0"/>
            </w:pPr>
            <w:r>
              <w:t>8.</w:t>
            </w:r>
          </w:p>
        </w:tc>
        <w:tc>
          <w:tcPr>
            <w:tcW w:w="11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2FB57" w14:textId="77777777" w:rsidR="004438EA" w:rsidRDefault="004438EA" w:rsidP="00A41BB0">
            <w:pPr>
              <w:pStyle w:val="Standard"/>
              <w:snapToGrid w:val="0"/>
            </w:pPr>
            <w:r>
              <w:t>Przeglądy serwisowe analizatora zakończone są wpisem do paszportu informacji „urządzenie sprawne technicznie ” i naklejeniem etykiety na analizator z datą kolejnego przeglądu na czas trwania umowy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1045C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44889E22" w14:textId="77777777" w:rsidTr="00A41BB0">
        <w:tc>
          <w:tcPr>
            <w:tcW w:w="49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26EF0" w14:textId="77777777" w:rsidR="004438EA" w:rsidRDefault="004438EA" w:rsidP="00A41BB0">
            <w:pPr>
              <w:pStyle w:val="TableContents"/>
              <w:snapToGrid w:val="0"/>
            </w:pPr>
            <w:r>
              <w:t>9</w:t>
            </w:r>
          </w:p>
        </w:tc>
        <w:tc>
          <w:tcPr>
            <w:tcW w:w="1156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C1B5" w14:textId="77777777" w:rsidR="004438EA" w:rsidRDefault="004438EA" w:rsidP="00A41BB0">
            <w:pPr>
              <w:pStyle w:val="Standard"/>
              <w:snapToGrid w:val="0"/>
            </w:pPr>
            <w:r>
              <w:t>Koszt przeglądów serwisowych, materiałów eksploatacyjnych i części wymiennych nie ujętych w umowie a niezbędnych do prawidłowej pracy analizatora ponosi Wykonawca.</w:t>
            </w:r>
          </w:p>
        </w:tc>
        <w:tc>
          <w:tcPr>
            <w:tcW w:w="20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21266" w14:textId="77777777" w:rsidR="004438EA" w:rsidRDefault="004438EA" w:rsidP="00A41BB0">
            <w:pPr>
              <w:pStyle w:val="TableContents"/>
              <w:snapToGrid w:val="0"/>
            </w:pPr>
            <w:r>
              <w:t>TAK</w:t>
            </w:r>
          </w:p>
        </w:tc>
      </w:tr>
      <w:tr w:rsidR="004438EA" w14:paraId="7ED3DCF6" w14:textId="77777777" w:rsidTr="00A41BB0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75857" w14:textId="77777777" w:rsidR="004438EA" w:rsidRDefault="004438EA" w:rsidP="00A41BB0">
            <w:pPr>
              <w:pStyle w:val="TableContents"/>
              <w:snapToGrid w:val="0"/>
            </w:pPr>
          </w:p>
        </w:tc>
        <w:tc>
          <w:tcPr>
            <w:tcW w:w="11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4E137" w14:textId="77777777" w:rsidR="004438EA" w:rsidRDefault="004438EA" w:rsidP="00A41BB0">
            <w:pPr>
              <w:pStyle w:val="Standard"/>
              <w:snapToGrid w:val="0"/>
            </w:pP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0CC21" w14:textId="77777777" w:rsidR="004438EA" w:rsidRDefault="004438EA" w:rsidP="00A41BB0">
            <w:pPr>
              <w:pStyle w:val="TableContents"/>
              <w:snapToGrid w:val="0"/>
            </w:pPr>
          </w:p>
        </w:tc>
      </w:tr>
    </w:tbl>
    <w:p w14:paraId="20D0B471" w14:textId="77777777" w:rsidR="004438EA" w:rsidRDefault="004438EA" w:rsidP="004438EA">
      <w:pPr>
        <w:pStyle w:val="Standard"/>
      </w:pPr>
    </w:p>
    <w:p w14:paraId="01A71C43" w14:textId="77777777" w:rsidR="004438EA" w:rsidRDefault="004438EA" w:rsidP="004438EA">
      <w:pPr>
        <w:pStyle w:val="Standard"/>
        <w:rPr>
          <w:rFonts w:eastAsia="Times New Roman" w:cs="Times New Roman"/>
          <w:sz w:val="28"/>
          <w:lang w:bidi="ar-SA"/>
        </w:rPr>
      </w:pPr>
    </w:p>
    <w:p w14:paraId="02F3D537" w14:textId="77777777" w:rsidR="004438EA" w:rsidRDefault="004438EA" w:rsidP="004438EA">
      <w:pPr>
        <w:pStyle w:val="Standard"/>
        <w:jc w:val="right"/>
        <w:rPr>
          <w:rFonts w:eastAsia="Times New Roman" w:cs="Times New Roman"/>
          <w:sz w:val="28"/>
          <w:lang w:bidi="ar-SA"/>
        </w:rPr>
      </w:pPr>
      <w:r>
        <w:rPr>
          <w:rFonts w:eastAsia="Times New Roman" w:cs="Times New Roman"/>
          <w:sz w:val="28"/>
          <w:lang w:bidi="ar-SA"/>
        </w:rPr>
        <w:t>…………………………………………</w:t>
      </w:r>
    </w:p>
    <w:p w14:paraId="5F474C29" w14:textId="77777777" w:rsidR="004438EA" w:rsidRDefault="004438EA" w:rsidP="004438EA">
      <w:pPr>
        <w:pStyle w:val="Standard"/>
        <w:rPr>
          <w:rFonts w:eastAsia="Times New Roman" w:cs="Times New Roman"/>
          <w:sz w:val="28"/>
          <w:lang w:bidi="ar-SA"/>
        </w:rPr>
      </w:pPr>
    </w:p>
    <w:p w14:paraId="4D41BA8A" w14:textId="77777777" w:rsidR="004438EA" w:rsidRDefault="004438EA" w:rsidP="004438EA">
      <w:pPr>
        <w:pStyle w:val="Standard"/>
        <w:rPr>
          <w:rFonts w:eastAsia="Times New Roman" w:cs="Times New Roman"/>
          <w:sz w:val="28"/>
          <w:lang w:bidi="ar-SA"/>
        </w:rPr>
      </w:pPr>
    </w:p>
    <w:p w14:paraId="6D9E121A" w14:textId="77777777" w:rsidR="004438EA" w:rsidRDefault="004438EA" w:rsidP="004438EA">
      <w:pPr>
        <w:pStyle w:val="Standard"/>
        <w:rPr>
          <w:rFonts w:eastAsia="Times New Roman" w:cs="Times New Roman"/>
          <w:sz w:val="28"/>
          <w:lang w:bidi="ar-SA"/>
        </w:rPr>
      </w:pPr>
    </w:p>
    <w:p w14:paraId="642964B5" w14:textId="77777777" w:rsidR="004438EA" w:rsidRDefault="004438EA" w:rsidP="004438EA">
      <w:pPr>
        <w:pStyle w:val="Standard"/>
        <w:rPr>
          <w:rFonts w:eastAsia="Times New Roman" w:cs="Times New Roman"/>
          <w:sz w:val="28"/>
          <w:lang w:bidi="ar-SA"/>
        </w:rPr>
      </w:pPr>
    </w:p>
    <w:p w14:paraId="230957EF" w14:textId="77777777" w:rsidR="004438EA" w:rsidRDefault="004438EA" w:rsidP="004438EA">
      <w:pPr>
        <w:pStyle w:val="Standard"/>
        <w:rPr>
          <w:rFonts w:eastAsia="Times New Roman" w:cs="Times New Roman"/>
          <w:sz w:val="28"/>
          <w:lang w:bidi="ar-SA"/>
        </w:rPr>
      </w:pPr>
    </w:p>
    <w:p w14:paraId="46FC6E95" w14:textId="77777777" w:rsidR="00BE2BE6" w:rsidRDefault="00BE2BE6"/>
    <w:sectPr w:rsidR="00BE2BE6">
      <w:foot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DD84" w14:textId="77777777" w:rsidR="00C25D4F" w:rsidRDefault="00C25D4F">
      <w:r>
        <w:separator/>
      </w:r>
    </w:p>
  </w:endnote>
  <w:endnote w:type="continuationSeparator" w:id="0">
    <w:p w14:paraId="6367C30A" w14:textId="77777777" w:rsidR="00C25D4F" w:rsidRDefault="00C2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400B" w14:textId="77777777" w:rsidR="00575550" w:rsidRDefault="004438E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4C8C622" w14:textId="77777777" w:rsidR="00575550" w:rsidRDefault="00C25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9C59" w14:textId="77777777" w:rsidR="00C25D4F" w:rsidRDefault="00C25D4F">
      <w:r>
        <w:separator/>
      </w:r>
    </w:p>
  </w:footnote>
  <w:footnote w:type="continuationSeparator" w:id="0">
    <w:p w14:paraId="0307D662" w14:textId="77777777" w:rsidR="00C25D4F" w:rsidRDefault="00C25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34"/>
    <w:rsid w:val="00015BE8"/>
    <w:rsid w:val="002A5A34"/>
    <w:rsid w:val="004438EA"/>
    <w:rsid w:val="00BE2BE6"/>
    <w:rsid w:val="00C2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4CE1"/>
  <w15:chartTrackingRefBased/>
  <w15:docId w15:val="{6D04201E-0B56-4FD8-AD3F-D82D7ABE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38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438EA"/>
    <w:pPr>
      <w:suppressLineNumbers/>
    </w:pPr>
  </w:style>
  <w:style w:type="paragraph" w:customStyle="1" w:styleId="TableHeading">
    <w:name w:val="Table Heading"/>
    <w:basedOn w:val="TableContents"/>
    <w:rsid w:val="004438EA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rsid w:val="004438E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4438E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</cp:revision>
  <dcterms:created xsi:type="dcterms:W3CDTF">2022-03-08T07:56:00Z</dcterms:created>
  <dcterms:modified xsi:type="dcterms:W3CDTF">2022-03-08T07:57:00Z</dcterms:modified>
</cp:coreProperties>
</file>