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47206AB2" w14:textId="77777777" w:rsidR="001C1CEF" w:rsidRPr="001C1CEF" w:rsidRDefault="002E43FB" w:rsidP="001C1CE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1C1CEF" w:rsidRPr="001C1CE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charakterystyki energetycznej budynku biurowo-magazynowego </w:t>
      </w:r>
    </w:p>
    <w:p w14:paraId="3BCF9840" w14:textId="41A9F758" w:rsidR="008823AF" w:rsidRPr="0051787A" w:rsidRDefault="001C1CEF" w:rsidP="001C1CE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1C1CEF">
        <w:rPr>
          <w:rFonts w:asciiTheme="majorHAnsi" w:hAnsiTheme="majorHAnsi"/>
          <w:b/>
          <w:i/>
          <w:color w:val="000000" w:themeColor="text1"/>
          <w:sz w:val="22"/>
          <w:szCs w:val="22"/>
        </w:rPr>
        <w:t>siedziby Zakładu Gospodarki Miejskiej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38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38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7777777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C0CAC16F-EBB1-4602-829E-C0D783F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C229-C74E-461A-98CA-D4DC9687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627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89</cp:revision>
  <cp:lastPrinted>2019-02-14T08:39:00Z</cp:lastPrinted>
  <dcterms:created xsi:type="dcterms:W3CDTF">2019-02-11T19:01:00Z</dcterms:created>
  <dcterms:modified xsi:type="dcterms:W3CDTF">2021-05-21T07:50:00Z</dcterms:modified>
</cp:coreProperties>
</file>