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</w:t>
      </w:r>
      <w:proofErr w:type="spellStart"/>
      <w:r w:rsidRPr="008610BD">
        <w:rPr>
          <w:rFonts w:cstheme="minorHAnsi"/>
          <w:sz w:val="24"/>
          <w:szCs w:val="24"/>
        </w:rPr>
        <w:t>CEiDG</w:t>
      </w:r>
      <w:proofErr w:type="spellEnd"/>
      <w:r w:rsidRPr="008610BD">
        <w:rPr>
          <w:rFonts w:cstheme="minorHAnsi"/>
          <w:sz w:val="24"/>
          <w:szCs w:val="24"/>
        </w:rPr>
        <w:t xml:space="preserve">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0597EC62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</w:t>
      </w:r>
      <w:r w:rsidR="00F7634F">
        <w:rPr>
          <w:rFonts w:cstheme="minorHAnsi"/>
          <w:b/>
          <w:sz w:val="24"/>
          <w:szCs w:val="24"/>
        </w:rPr>
        <w:t xml:space="preserve"> – II</w:t>
      </w:r>
      <w:r w:rsidR="001A13DC">
        <w:rPr>
          <w:rFonts w:cstheme="minorHAnsi"/>
          <w:b/>
          <w:sz w:val="24"/>
          <w:szCs w:val="24"/>
        </w:rPr>
        <w:t xml:space="preserve">I </w:t>
      </w:r>
      <w:r w:rsidR="00F7634F">
        <w:rPr>
          <w:rFonts w:cstheme="minorHAnsi"/>
          <w:b/>
          <w:sz w:val="24"/>
          <w:szCs w:val="24"/>
        </w:rPr>
        <w:t>postępowanie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którym został on pierwszy raz 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423C38DF" w:rsidR="009F16E3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Kolor nadwozia:  Zamawiający dopuszcza wszystkie kolory oprócz czerwonego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6D3933E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  <w:r w:rsidR="009A7C8F">
              <w:rPr>
                <w:rFonts w:cs="Calibri"/>
                <w:sz w:val="24"/>
                <w:szCs w:val="24"/>
              </w:rPr>
              <w:t xml:space="preserve"> Zamawiający dopuszcza kolor lakieru niemetalizowany.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E5C720" w:rsidR="009F16E3" w:rsidRDefault="00AF77BC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Światła: LED do jazdy dziennej, reflektory halogenowe </w:t>
            </w:r>
            <w:r w:rsidRPr="00F37000">
              <w:rPr>
                <w:rFonts w:cs="Calibri"/>
                <w:b/>
                <w:bCs/>
                <w:sz w:val="24"/>
                <w:szCs w:val="24"/>
              </w:rPr>
              <w:t>lub pełne światła ledowe</w:t>
            </w:r>
            <w:r>
              <w:rPr>
                <w:rFonts w:cs="Calibri"/>
                <w:sz w:val="24"/>
                <w:szCs w:val="24"/>
              </w:rPr>
              <w:t>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2DDC329B" w:rsidR="009F16E3" w:rsidRPr="006F3D49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6F3D49">
              <w:rPr>
                <w:rFonts w:cs="Calibri"/>
                <w:sz w:val="24"/>
                <w:szCs w:val="24"/>
              </w:rPr>
              <w:t>Szyba czołowa z filtrem.</w:t>
            </w:r>
            <w:r w:rsidR="007830EC">
              <w:rPr>
                <w:rFonts w:cs="Calibri"/>
                <w:sz w:val="24"/>
                <w:szCs w:val="24"/>
              </w:rPr>
              <w:t xml:space="preserve"> </w:t>
            </w:r>
            <w:r w:rsidR="007830EC" w:rsidRPr="00DC4644">
              <w:rPr>
                <w:rFonts w:cs="Calibri"/>
                <w:sz w:val="24"/>
                <w:szCs w:val="24"/>
              </w:rPr>
              <w:t>Zamawiający dopuszcza szyby termoizolacyjne z podgrzewaną elektrycznie szybą przednią.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4405810A" w:rsidR="009F16E3" w:rsidRPr="006F3D49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Tylne drzwi dwuskrzydłowe przeszklone, przyciemniane z ogrzewaniem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dodatkowe atestowane pasy bezpieczeństwa umożliwiające bezpieczne 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Dwa komplety kół, w tym odpowiednio kołpaki, (letnie i 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Wyposażenie: gaśnica, apteczka, trójkąt, podnośnik, pełnowymiarowe koło zapasowe, zamykany schowek w desce rozdzielczej, gniazdo 12V w kabinie, oznakowanie pojazdu (naklejki </w:t>
            </w:r>
            <w:r>
              <w:rPr>
                <w:rFonts w:cs="Calibri"/>
                <w:sz w:val="24"/>
                <w:szCs w:val="24"/>
              </w:rPr>
              <w:lastRenderedPageBreak/>
              <w:t>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51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2020A5"/>
    <w:rsid w:val="002046CE"/>
    <w:rsid w:val="00220BC6"/>
    <w:rsid w:val="00235C89"/>
    <w:rsid w:val="0025747A"/>
    <w:rsid w:val="0026798E"/>
    <w:rsid w:val="002B079E"/>
    <w:rsid w:val="002C1B23"/>
    <w:rsid w:val="002C729B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B5448"/>
    <w:rsid w:val="003C4C80"/>
    <w:rsid w:val="003D28D6"/>
    <w:rsid w:val="003F7939"/>
    <w:rsid w:val="00417024"/>
    <w:rsid w:val="004214B8"/>
    <w:rsid w:val="0043064A"/>
    <w:rsid w:val="004410F1"/>
    <w:rsid w:val="00457B94"/>
    <w:rsid w:val="0047345E"/>
    <w:rsid w:val="00483E3D"/>
    <w:rsid w:val="004C019A"/>
    <w:rsid w:val="004D346F"/>
    <w:rsid w:val="004E6DC0"/>
    <w:rsid w:val="005012C2"/>
    <w:rsid w:val="00510A71"/>
    <w:rsid w:val="0051245E"/>
    <w:rsid w:val="00516DC2"/>
    <w:rsid w:val="0052439E"/>
    <w:rsid w:val="0055714B"/>
    <w:rsid w:val="00573EAD"/>
    <w:rsid w:val="00576CDC"/>
    <w:rsid w:val="00581584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830EC"/>
    <w:rsid w:val="00793761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609AE"/>
    <w:rsid w:val="009906E3"/>
    <w:rsid w:val="009A7C8F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4B95"/>
    <w:rsid w:val="00A965F1"/>
    <w:rsid w:val="00AD73D1"/>
    <w:rsid w:val="00AE61DA"/>
    <w:rsid w:val="00AF22BD"/>
    <w:rsid w:val="00AF77BC"/>
    <w:rsid w:val="00B65EC9"/>
    <w:rsid w:val="00B8733A"/>
    <w:rsid w:val="00B9068B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018D-A304-43A5-A303-7FAD5AD4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34</cp:revision>
  <cp:lastPrinted>2023-12-01T07:54:00Z</cp:lastPrinted>
  <dcterms:created xsi:type="dcterms:W3CDTF">2023-12-05T13:47:00Z</dcterms:created>
  <dcterms:modified xsi:type="dcterms:W3CDTF">2024-01-30T11:34:00Z</dcterms:modified>
</cp:coreProperties>
</file>