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2BB6" w14:textId="138D790F" w:rsidR="0087501C" w:rsidRPr="0087501C" w:rsidRDefault="0087501C" w:rsidP="0087501C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 w:rsidRPr="0087501C">
        <w:rPr>
          <w:rFonts w:eastAsia="Calibri" w:cstheme="minorHAnsi"/>
          <w:sz w:val="24"/>
          <w:szCs w:val="24"/>
        </w:rPr>
        <w:t xml:space="preserve">Załącznik </w:t>
      </w:r>
      <w:r w:rsidR="005521FE">
        <w:rPr>
          <w:rFonts w:eastAsia="Calibri" w:cstheme="minorHAnsi"/>
          <w:sz w:val="24"/>
          <w:szCs w:val="24"/>
        </w:rPr>
        <w:t>n</w:t>
      </w:r>
      <w:r w:rsidRPr="0087501C">
        <w:rPr>
          <w:rFonts w:eastAsia="Calibri" w:cstheme="minorHAnsi"/>
          <w:sz w:val="24"/>
          <w:szCs w:val="24"/>
        </w:rPr>
        <w:t>r 1</w:t>
      </w:r>
      <w:r w:rsidR="005521FE">
        <w:rPr>
          <w:rFonts w:eastAsia="Calibri" w:cstheme="minorHAnsi"/>
          <w:sz w:val="24"/>
          <w:szCs w:val="24"/>
        </w:rPr>
        <w:t xml:space="preserve"> do SWZ</w:t>
      </w:r>
      <w:r w:rsidRPr="0087501C">
        <w:rPr>
          <w:rFonts w:eastAsia="Calibri" w:cstheme="minorHAnsi"/>
          <w:sz w:val="24"/>
          <w:szCs w:val="24"/>
        </w:rPr>
        <w:t xml:space="preserve"> </w:t>
      </w:r>
    </w:p>
    <w:p w14:paraId="32E3D91B" w14:textId="77777777" w:rsidR="0087501C" w:rsidRPr="0087501C" w:rsidRDefault="0087501C" w:rsidP="0087501C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3604EA3D" w14:textId="14D75F6A" w:rsidR="00217ED8" w:rsidRPr="00D249B3" w:rsidRDefault="0087501C" w:rsidP="00D249B3">
      <w:pPr>
        <w:spacing w:after="24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87501C">
        <w:rPr>
          <w:rFonts w:eastAsia="Calibri" w:cstheme="minorHAnsi"/>
          <w:b/>
          <w:sz w:val="24"/>
          <w:szCs w:val="24"/>
        </w:rPr>
        <w:t xml:space="preserve">SZCZEGÓŁOWY OPIS PRZEDMIOTU ZAMÓWIENIA (zwany dalej </w:t>
      </w:r>
      <w:r w:rsidR="00A21103">
        <w:rPr>
          <w:rFonts w:eastAsia="Calibri" w:cstheme="minorHAnsi"/>
          <w:b/>
          <w:sz w:val="24"/>
          <w:szCs w:val="24"/>
        </w:rPr>
        <w:t>S</w:t>
      </w:r>
      <w:r w:rsidRPr="0087501C">
        <w:rPr>
          <w:rFonts w:eastAsia="Calibri" w:cstheme="minorHAnsi"/>
          <w:b/>
          <w:sz w:val="24"/>
          <w:szCs w:val="24"/>
        </w:rPr>
        <w:t>OPZ)</w:t>
      </w:r>
    </w:p>
    <w:p w14:paraId="759AE625" w14:textId="71CEE1E4" w:rsidR="00217ED8" w:rsidRPr="006B4F77" w:rsidRDefault="004E3D11" w:rsidP="00217ED8">
      <w:pPr>
        <w:pStyle w:val="Akapitzlist"/>
        <w:numPr>
          <w:ilvl w:val="0"/>
          <w:numId w:val="32"/>
        </w:numPr>
        <w:spacing w:after="12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Cel i ogólny zakres przedmiotu zamówienia</w:t>
      </w:r>
    </w:p>
    <w:p w14:paraId="527C1E4A" w14:textId="64F9F3D4" w:rsidR="00217ED8" w:rsidRPr="006B4F77" w:rsidRDefault="00217ED8" w:rsidP="00217ED8">
      <w:pPr>
        <w:pStyle w:val="Tekst"/>
        <w:jc w:val="left"/>
        <w:rPr>
          <w:rFonts w:asciiTheme="minorHAnsi" w:hAnsiTheme="minorHAnsi" w:cstheme="minorHAnsi"/>
          <w:sz w:val="24"/>
          <w:szCs w:val="24"/>
        </w:rPr>
      </w:pPr>
      <w:r w:rsidRPr="006B4F77">
        <w:rPr>
          <w:rFonts w:asciiTheme="minorHAnsi" w:hAnsiTheme="minorHAnsi" w:cstheme="minorHAnsi"/>
          <w:sz w:val="24"/>
          <w:szCs w:val="24"/>
        </w:rPr>
        <w:t xml:space="preserve">Przedmiot zamówienia obejmuje świadczenie usług prawnych z zakresu pomocy publicznej oraz funduszy unijnych i będzie realizowany na zlecenie Zamawiającego zgodnie z jego potrzebami. </w:t>
      </w:r>
    </w:p>
    <w:p w14:paraId="7EA2D8AB" w14:textId="2A74C65A" w:rsidR="00217ED8" w:rsidRPr="006B4F77" w:rsidRDefault="00217ED8" w:rsidP="00217ED8">
      <w:pPr>
        <w:pStyle w:val="Tekst"/>
        <w:jc w:val="left"/>
        <w:rPr>
          <w:rFonts w:asciiTheme="minorHAnsi" w:hAnsiTheme="minorHAnsi" w:cstheme="minorHAnsi"/>
          <w:sz w:val="24"/>
          <w:szCs w:val="24"/>
        </w:rPr>
      </w:pPr>
      <w:r w:rsidRPr="006B4F77">
        <w:rPr>
          <w:rFonts w:asciiTheme="minorHAnsi" w:hAnsiTheme="minorHAnsi" w:cstheme="minorHAnsi"/>
          <w:sz w:val="24"/>
          <w:szCs w:val="24"/>
        </w:rPr>
        <w:t xml:space="preserve">Usługi prawne będą świadczone m.in. w związku z realizacją </w:t>
      </w:r>
      <w:r w:rsidR="00C01678">
        <w:rPr>
          <w:rFonts w:asciiTheme="minorHAnsi" w:hAnsiTheme="minorHAnsi" w:cstheme="minorHAnsi"/>
          <w:sz w:val="24"/>
          <w:szCs w:val="24"/>
        </w:rPr>
        <w:t xml:space="preserve">programów: </w:t>
      </w:r>
      <w:r w:rsidRPr="006B4F77">
        <w:rPr>
          <w:rFonts w:asciiTheme="minorHAnsi" w:hAnsiTheme="minorHAnsi" w:cstheme="minorHAnsi"/>
          <w:sz w:val="24"/>
          <w:szCs w:val="24"/>
        </w:rPr>
        <w:t>Program Operacyjn</w:t>
      </w:r>
      <w:r w:rsidR="00C01678">
        <w:rPr>
          <w:rFonts w:asciiTheme="minorHAnsi" w:hAnsiTheme="minorHAnsi" w:cstheme="minorHAnsi"/>
          <w:sz w:val="24"/>
          <w:szCs w:val="24"/>
        </w:rPr>
        <w:t>y</w:t>
      </w:r>
      <w:r w:rsidRPr="006B4F77">
        <w:rPr>
          <w:rFonts w:asciiTheme="minorHAnsi" w:hAnsiTheme="minorHAnsi" w:cstheme="minorHAnsi"/>
          <w:sz w:val="24"/>
          <w:szCs w:val="24"/>
        </w:rPr>
        <w:t xml:space="preserve"> Polska Cyfrowa na lata 2014-2020 (dalej „POPC”), </w:t>
      </w:r>
      <w:hyperlink r:id="rId7" w:tgtFrame="_blank" w:history="1">
        <w:r w:rsidRPr="006B4F77">
          <w:rPr>
            <w:rFonts w:asciiTheme="minorHAnsi" w:hAnsiTheme="minorHAnsi" w:cstheme="minorHAnsi"/>
            <w:sz w:val="24"/>
            <w:szCs w:val="24"/>
          </w:rPr>
          <w:t>Fundusze Europejskie na Rozwój Cyfrowy 2021-2027</w:t>
        </w:r>
      </w:hyperlink>
      <w:r w:rsidRPr="006B4F77">
        <w:rPr>
          <w:rFonts w:asciiTheme="minorHAnsi" w:hAnsiTheme="minorHAnsi" w:cstheme="minorHAnsi"/>
          <w:sz w:val="24"/>
          <w:szCs w:val="24"/>
        </w:rPr>
        <w:t xml:space="preserve"> (dalej „FERC”)</w:t>
      </w:r>
      <w:r w:rsidR="00C01678">
        <w:rPr>
          <w:rFonts w:asciiTheme="minorHAnsi" w:hAnsiTheme="minorHAnsi" w:cstheme="minorHAnsi"/>
          <w:sz w:val="24"/>
          <w:szCs w:val="24"/>
        </w:rPr>
        <w:t xml:space="preserve">, </w:t>
      </w:r>
      <w:r w:rsidR="00C01678" w:rsidRPr="00C01678">
        <w:rPr>
          <w:rFonts w:asciiTheme="minorHAnsi" w:hAnsiTheme="minorHAnsi" w:cstheme="minorHAnsi"/>
          <w:sz w:val="24"/>
          <w:szCs w:val="24"/>
        </w:rPr>
        <w:t>Fundusze Europejskie dla Rozwoju Społecznego</w:t>
      </w:r>
      <w:r w:rsidR="00C01678">
        <w:rPr>
          <w:rFonts w:asciiTheme="minorHAnsi" w:hAnsiTheme="minorHAnsi" w:cstheme="minorHAnsi"/>
          <w:sz w:val="24"/>
          <w:szCs w:val="24"/>
        </w:rPr>
        <w:t xml:space="preserve"> </w:t>
      </w:r>
      <w:r w:rsidR="0051235B">
        <w:rPr>
          <w:rFonts w:asciiTheme="minorHAnsi" w:hAnsiTheme="minorHAnsi" w:cstheme="minorHAnsi"/>
          <w:sz w:val="24"/>
          <w:szCs w:val="24"/>
        </w:rPr>
        <w:t xml:space="preserve">2021 – 2027 </w:t>
      </w:r>
      <w:r w:rsidR="00C01678">
        <w:rPr>
          <w:rFonts w:asciiTheme="minorHAnsi" w:hAnsiTheme="minorHAnsi" w:cstheme="minorHAnsi"/>
          <w:sz w:val="24"/>
          <w:szCs w:val="24"/>
        </w:rPr>
        <w:t xml:space="preserve">(dalej „FERS”) oraz </w:t>
      </w:r>
      <w:r w:rsidR="00C01678" w:rsidRPr="00C01678">
        <w:rPr>
          <w:rFonts w:asciiTheme="minorHAnsi" w:hAnsiTheme="minorHAnsi" w:cstheme="minorHAnsi"/>
          <w:sz w:val="24"/>
          <w:szCs w:val="24"/>
        </w:rPr>
        <w:t xml:space="preserve">Krajowy Plan Odbudowy i Zwiększania Odporności </w:t>
      </w:r>
      <w:r w:rsidR="00C01678">
        <w:rPr>
          <w:rFonts w:asciiTheme="minorHAnsi" w:hAnsiTheme="minorHAnsi" w:cstheme="minorHAnsi"/>
          <w:sz w:val="24"/>
          <w:szCs w:val="24"/>
        </w:rPr>
        <w:t>(dalej „KPO”)</w:t>
      </w:r>
      <w:r w:rsidRPr="006B4F77">
        <w:rPr>
          <w:rFonts w:asciiTheme="minorHAnsi" w:hAnsiTheme="minorHAnsi" w:cstheme="minorHAnsi"/>
          <w:sz w:val="24"/>
          <w:szCs w:val="24"/>
        </w:rPr>
        <w:t xml:space="preserve">, a także innych programów i funduszy obsługiwanych przez Centrum Projektów Polska Cyfrowa (dalej „CPPC”). Szczegółowe informacje dotyczące </w:t>
      </w:r>
      <w:r w:rsidR="00C01678">
        <w:rPr>
          <w:rFonts w:asciiTheme="minorHAnsi" w:hAnsiTheme="minorHAnsi" w:cstheme="minorHAnsi"/>
          <w:sz w:val="24"/>
          <w:szCs w:val="24"/>
        </w:rPr>
        <w:t>wskazanych programów</w:t>
      </w:r>
      <w:r w:rsidRPr="006B4F77">
        <w:rPr>
          <w:rFonts w:asciiTheme="minorHAnsi" w:hAnsiTheme="minorHAnsi" w:cstheme="minorHAnsi"/>
          <w:sz w:val="24"/>
          <w:szCs w:val="24"/>
        </w:rPr>
        <w:t>, w tym szczególnie w zakresie celów, kryteriów wyboru projektów czy naborów wniosków o dofinansowanie, znajdują się na stronie internetowej Zamawiającego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hyperlink r:id="rId8" w:history="1">
        <w:r w:rsidRPr="004C0633">
          <w:rPr>
            <w:rStyle w:val="Hipercze"/>
            <w:rFonts w:asciiTheme="minorHAnsi" w:hAnsiTheme="minorHAnsi" w:cstheme="minorHAnsi"/>
            <w:sz w:val="24"/>
            <w:szCs w:val="24"/>
          </w:rPr>
          <w:t>https://www.gov.pl/web/cppc</w:t>
        </w:r>
      </w:hyperlink>
      <w:r>
        <w:rPr>
          <w:rFonts w:asciiTheme="minorHAnsi" w:hAnsiTheme="minorHAnsi" w:cstheme="minorHAnsi"/>
          <w:sz w:val="24"/>
          <w:szCs w:val="24"/>
        </w:rPr>
        <w:t>.</w:t>
      </w:r>
    </w:p>
    <w:p w14:paraId="1318DCAD" w14:textId="33A0BD7E" w:rsidR="00111AAC" w:rsidRPr="00111AAC" w:rsidRDefault="00111AAC" w:rsidP="00217ED8">
      <w:pPr>
        <w:pStyle w:val="Tekst"/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111AAC">
        <w:rPr>
          <w:rFonts w:ascii="Calibri" w:hAnsi="Calibri" w:cs="Calibri"/>
          <w:sz w:val="24"/>
          <w:szCs w:val="24"/>
        </w:rPr>
        <w:t>Usługa będzie świadczona przez okres 12 miesięcy od dnia jej zawarcia lub do dnia wyczerpania środków przeznaczonych na sfinansowanie przedmiotowego zamówienia w zależności od tego, które z tych zdarzeń nastąpi wcześniej.</w:t>
      </w:r>
    </w:p>
    <w:p w14:paraId="485F0584" w14:textId="7ACC850A" w:rsidR="00217ED8" w:rsidRPr="006B4F77" w:rsidRDefault="00217ED8" w:rsidP="00217ED8">
      <w:pPr>
        <w:pStyle w:val="Tekst"/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6B4F77">
        <w:rPr>
          <w:rFonts w:asciiTheme="minorHAnsi" w:hAnsiTheme="minorHAnsi" w:cstheme="minorHAnsi"/>
          <w:sz w:val="24"/>
          <w:szCs w:val="24"/>
        </w:rPr>
        <w:t xml:space="preserve">Zakres zamówienia obejmie usługi prawne, tj.: </w:t>
      </w:r>
    </w:p>
    <w:p w14:paraId="00637A4A" w14:textId="77777777" w:rsidR="00217ED8" w:rsidRPr="006B4F77" w:rsidRDefault="00217ED8" w:rsidP="00217ED8">
      <w:pPr>
        <w:pStyle w:val="Tekst"/>
        <w:numPr>
          <w:ilvl w:val="0"/>
          <w:numId w:val="30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6B4F77">
        <w:rPr>
          <w:rFonts w:asciiTheme="minorHAnsi" w:hAnsiTheme="minorHAnsi" w:cstheme="minorHAnsi"/>
          <w:sz w:val="24"/>
          <w:szCs w:val="24"/>
        </w:rPr>
        <w:t xml:space="preserve">usługi doradztwa prawnego; </w:t>
      </w:r>
    </w:p>
    <w:p w14:paraId="03571A7D" w14:textId="77777777" w:rsidR="00217ED8" w:rsidRPr="006B4F77" w:rsidRDefault="00217ED8" w:rsidP="00217ED8">
      <w:pPr>
        <w:pStyle w:val="Tekst"/>
        <w:numPr>
          <w:ilvl w:val="0"/>
          <w:numId w:val="30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6B4F77">
        <w:rPr>
          <w:rFonts w:asciiTheme="minorHAnsi" w:hAnsiTheme="minorHAnsi" w:cstheme="minorHAnsi"/>
          <w:bCs/>
          <w:sz w:val="24"/>
          <w:szCs w:val="24"/>
        </w:rPr>
        <w:t>występowania przed sądami/organami administracji publicznej.</w:t>
      </w:r>
    </w:p>
    <w:p w14:paraId="3F9FEA54" w14:textId="77777777" w:rsidR="00217ED8" w:rsidRPr="006B4F77" w:rsidRDefault="00217ED8" w:rsidP="00217ED8">
      <w:pPr>
        <w:spacing w:before="120" w:after="120" w:line="360" w:lineRule="auto"/>
        <w:contextualSpacing/>
        <w:outlineLvl w:val="1"/>
        <w:rPr>
          <w:rFonts w:eastAsia="Times New Roman" w:cstheme="minorHAnsi"/>
          <w:kern w:val="32"/>
          <w:sz w:val="24"/>
          <w:szCs w:val="24"/>
        </w:rPr>
      </w:pPr>
      <w:r w:rsidRPr="006B4F77">
        <w:rPr>
          <w:rFonts w:eastAsia="Times New Roman" w:cstheme="minorHAnsi"/>
          <w:kern w:val="32"/>
          <w:sz w:val="24"/>
          <w:szCs w:val="24"/>
        </w:rPr>
        <w:t>Wykonawca będzie zobowiązany do świadczenia pomocy prawnej w zakresie:</w:t>
      </w:r>
    </w:p>
    <w:p w14:paraId="74ED7436" w14:textId="4851563C" w:rsidR="00217ED8" w:rsidRPr="006B4F77" w:rsidRDefault="00217ED8" w:rsidP="00217ED8">
      <w:pPr>
        <w:numPr>
          <w:ilvl w:val="0"/>
          <w:numId w:val="27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 zagadnień prawnych związanych z realizacją projektów POPC</w:t>
      </w:r>
      <w:r w:rsidR="00D249B3">
        <w:rPr>
          <w:rFonts w:eastAsia="Calibri" w:cstheme="minorHAnsi"/>
          <w:bCs/>
          <w:sz w:val="24"/>
          <w:szCs w:val="24"/>
          <w:lang w:eastAsia="pl-PL"/>
        </w:rPr>
        <w:t>, FERC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>,</w:t>
      </w:r>
      <w:r w:rsidR="00C01678">
        <w:rPr>
          <w:rFonts w:eastAsia="Calibri" w:cstheme="minorHAnsi"/>
          <w:bCs/>
          <w:sz w:val="24"/>
          <w:szCs w:val="24"/>
          <w:lang w:eastAsia="pl-PL"/>
        </w:rPr>
        <w:t xml:space="preserve"> FERS i KPO,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 a także innych programów i funduszy obsługiwanych przez CPPC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,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 w szczególności dotyczących:</w:t>
      </w:r>
    </w:p>
    <w:p w14:paraId="5490318E" w14:textId="51142C76" w:rsidR="00217ED8" w:rsidRPr="006B4F77" w:rsidRDefault="00217ED8" w:rsidP="00217ED8">
      <w:pPr>
        <w:pStyle w:val="Akapitzlist"/>
        <w:numPr>
          <w:ilvl w:val="0"/>
          <w:numId w:val="33"/>
        </w:numPr>
        <w:spacing w:after="120" w:line="360" w:lineRule="auto"/>
        <w:outlineLvl w:val="2"/>
        <w:rPr>
          <w:rFonts w:cstheme="minorHAnsi"/>
          <w:bCs/>
          <w:sz w:val="24"/>
          <w:szCs w:val="24"/>
          <w:lang w:eastAsia="pl-PL"/>
        </w:rPr>
      </w:pPr>
      <w:r w:rsidRPr="006B4F77">
        <w:rPr>
          <w:rFonts w:cstheme="minorHAnsi"/>
          <w:bCs/>
          <w:sz w:val="24"/>
          <w:szCs w:val="24"/>
          <w:lang w:eastAsia="pl-PL"/>
        </w:rPr>
        <w:t>oceny zgodności udzielonego wsparcia w ramach projektów POPC, FERC</w:t>
      </w:r>
      <w:r w:rsidR="00C01678" w:rsidRPr="006B4F77">
        <w:rPr>
          <w:rFonts w:eastAsia="Calibri" w:cstheme="minorHAnsi"/>
          <w:bCs/>
          <w:sz w:val="24"/>
          <w:szCs w:val="24"/>
          <w:lang w:eastAsia="pl-PL"/>
        </w:rPr>
        <w:t>,</w:t>
      </w:r>
      <w:r w:rsidR="00C01678">
        <w:rPr>
          <w:rFonts w:eastAsia="Calibri" w:cstheme="minorHAnsi"/>
          <w:bCs/>
          <w:sz w:val="24"/>
          <w:szCs w:val="24"/>
          <w:lang w:eastAsia="pl-PL"/>
        </w:rPr>
        <w:t xml:space="preserve"> FERS i KPO,</w:t>
      </w:r>
      <w:r w:rsidR="00C01678" w:rsidRPr="006B4F77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6B4F77">
        <w:rPr>
          <w:rFonts w:cstheme="minorHAnsi"/>
          <w:bCs/>
          <w:sz w:val="24"/>
          <w:szCs w:val="24"/>
          <w:lang w:eastAsia="pl-PL"/>
        </w:rPr>
        <w:t xml:space="preserve">a także innych programów i funduszy obsługiwanych przez CPPC z zasadami ogólnymi, zasadami pomocy publicznej lub pomocy </w:t>
      </w:r>
      <w:r w:rsidRPr="006B4F77">
        <w:rPr>
          <w:rFonts w:cstheme="minorHAnsi"/>
          <w:bCs/>
          <w:i/>
          <w:sz w:val="24"/>
          <w:szCs w:val="24"/>
          <w:lang w:eastAsia="pl-PL"/>
        </w:rPr>
        <w:t>de minimis,</w:t>
      </w:r>
      <w:r w:rsidRPr="006B4F77">
        <w:rPr>
          <w:rFonts w:cstheme="minorHAnsi"/>
          <w:bCs/>
          <w:sz w:val="24"/>
          <w:szCs w:val="24"/>
          <w:lang w:eastAsia="pl-PL"/>
        </w:rPr>
        <w:t xml:space="preserve"> określonymi, w szczególności w prawie krajowym, wspólnotowym i dokumentach programowych;</w:t>
      </w:r>
    </w:p>
    <w:p w14:paraId="3AC9EAD4" w14:textId="77777777" w:rsidR="00217ED8" w:rsidRPr="006B4F77" w:rsidRDefault="00217ED8" w:rsidP="00217ED8">
      <w:pPr>
        <w:pStyle w:val="Akapitzlist"/>
        <w:numPr>
          <w:ilvl w:val="0"/>
          <w:numId w:val="33"/>
        </w:numPr>
        <w:spacing w:after="120" w:line="360" w:lineRule="auto"/>
        <w:outlineLvl w:val="2"/>
        <w:rPr>
          <w:rFonts w:cstheme="minorHAnsi"/>
          <w:bCs/>
          <w:sz w:val="24"/>
          <w:szCs w:val="24"/>
          <w:lang w:eastAsia="pl-PL"/>
        </w:rPr>
      </w:pPr>
      <w:r w:rsidRPr="006B4F77">
        <w:rPr>
          <w:rFonts w:cstheme="minorHAnsi"/>
          <w:bCs/>
          <w:sz w:val="24"/>
          <w:szCs w:val="24"/>
          <w:lang w:eastAsia="pl-PL"/>
        </w:rPr>
        <w:lastRenderedPageBreak/>
        <w:t>oceny zgodności projektów z przepisami dotyczącymi zasad przetwarzania informacji, w tym m.in. rozporządzeniem Rady Ministrów z dnia 12 kwietnia 2012 r. w sprawie Krajowych Ram Interoperacyjności, minimalnych wymagań dla rejestrów publicznych i wymiany informacji w postaci elektronicznej oraz minimalnych wymagań dla systemów teleinformatycznych (t.j. Dz. U. z 2017 r. poz. 2247);</w:t>
      </w:r>
    </w:p>
    <w:p w14:paraId="6F42A379" w14:textId="3474DF5A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przygotowania dokumentacji konkursowej w naborach wniosków o dofinansowanie</w:t>
      </w:r>
      <w:r w:rsidR="006B7A45">
        <w:rPr>
          <w:rFonts w:eastAsia="Calibri" w:cstheme="minorHAnsi"/>
          <w:bCs/>
          <w:sz w:val="24"/>
          <w:szCs w:val="24"/>
          <w:lang w:eastAsia="pl-PL"/>
        </w:rPr>
        <w:t xml:space="preserve"> lub</w:t>
      </w:r>
      <w:r w:rsidR="006B7A45" w:rsidRPr="006B7A45">
        <w:t xml:space="preserve"> </w:t>
      </w:r>
      <w:r w:rsidR="006B7A45" w:rsidRPr="006B7A45">
        <w:rPr>
          <w:rFonts w:eastAsia="Calibri" w:cstheme="minorHAnsi"/>
          <w:bCs/>
          <w:sz w:val="24"/>
          <w:szCs w:val="24"/>
          <w:lang w:eastAsia="pl-PL"/>
        </w:rPr>
        <w:t>o obj</w:t>
      </w:r>
      <w:r w:rsidR="006B7A45">
        <w:rPr>
          <w:rFonts w:eastAsia="Calibri" w:cstheme="minorHAnsi"/>
          <w:bCs/>
          <w:sz w:val="24"/>
          <w:szCs w:val="24"/>
          <w:lang w:eastAsia="pl-PL"/>
        </w:rPr>
        <w:t>ę</w:t>
      </w:r>
      <w:r w:rsidR="006B7A45" w:rsidRPr="006B7A45">
        <w:rPr>
          <w:rFonts w:eastAsia="Calibri" w:cstheme="minorHAnsi"/>
          <w:bCs/>
          <w:sz w:val="24"/>
          <w:szCs w:val="24"/>
          <w:lang w:eastAsia="pl-PL"/>
        </w:rPr>
        <w:t>cie przedsięwzięcia wsparciem</w:t>
      </w:r>
      <w:r w:rsidR="006B7A45">
        <w:rPr>
          <w:rFonts w:eastAsia="Calibri" w:cstheme="minorHAnsi"/>
          <w:bCs/>
          <w:sz w:val="24"/>
          <w:szCs w:val="24"/>
          <w:lang w:eastAsia="pl-PL"/>
        </w:rPr>
        <w:t>,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 organizowanych przez Zamawiającego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>,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 </w:t>
      </w:r>
      <w:r w:rsidR="000A6CB8">
        <w:rPr>
          <w:rFonts w:eastAsia="Calibri" w:cstheme="minorHAnsi"/>
          <w:bCs/>
          <w:sz w:val="24"/>
          <w:szCs w:val="24"/>
          <w:lang w:eastAsia="pl-PL"/>
        </w:rPr>
        <w:t xml:space="preserve">zgodnie z przepisami 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ustawy 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z dnia 28 kwietnia 2022 r.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o zasadach realizacji zadań finansowanych ze środków europejskich w perspektywie finansowej 2021-2027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 (Dz.U. z 2022 r. poz. 1078), ustawy z dnia 6 grudnia 2006 r. o zasadach prowadzenia polityki rozwoju (t.j.</w:t>
      </w:r>
      <w:r w:rsidR="006B7A45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="006B7A45" w:rsidRPr="006B7A45">
        <w:rPr>
          <w:rFonts w:eastAsia="Calibri" w:cstheme="minorHAnsi"/>
          <w:bCs/>
          <w:sz w:val="24"/>
          <w:szCs w:val="24"/>
          <w:lang w:eastAsia="pl-PL"/>
        </w:rPr>
        <w:t>Dz.U. 2023 poz. 1259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) 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lub innymi odpowiednimi aktami prawnymi lub dokumentami;</w:t>
      </w:r>
    </w:p>
    <w:p w14:paraId="6A865EB4" w14:textId="38C83B4F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oceny statusu prawnego podmiotów ubiegających się o dofinansowanie</w:t>
      </w:r>
      <w:r w:rsidR="006B7A45">
        <w:rPr>
          <w:rFonts w:eastAsia="Calibri" w:cstheme="minorHAnsi"/>
          <w:bCs/>
          <w:sz w:val="24"/>
          <w:szCs w:val="24"/>
          <w:lang w:eastAsia="pl-PL"/>
        </w:rPr>
        <w:t xml:space="preserve"> lub o objęcie przedsięwzięcia wsparciem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 (w tym ewentualnych partnerów) i 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>jego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 zgodności z katalogiem typów beneficjentów</w:t>
      </w:r>
      <w:r w:rsidR="006B7A45">
        <w:rPr>
          <w:rFonts w:eastAsia="Calibri" w:cstheme="minorHAnsi"/>
          <w:bCs/>
          <w:sz w:val="24"/>
          <w:szCs w:val="24"/>
          <w:lang w:eastAsia="pl-PL"/>
        </w:rPr>
        <w:t>/ostatecznych odbiorców wsparcia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 wskazanym dokumentach związanych z realizacją FERC</w:t>
      </w:r>
      <w:r w:rsidR="007C6BAC">
        <w:rPr>
          <w:rFonts w:eastAsia="Calibri" w:cstheme="minorHAnsi"/>
          <w:bCs/>
          <w:sz w:val="24"/>
          <w:szCs w:val="24"/>
          <w:lang w:eastAsia="pl-PL"/>
        </w:rPr>
        <w:t>, FERS i KPO,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 oraz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 dokumentach związanych z realizacją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 innych programów i funduszy obsługiwanych przez CPPC;</w:t>
      </w:r>
    </w:p>
    <w:p w14:paraId="3FEC0212" w14:textId="01047714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przygotowywania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 decyzji/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umów/porozumień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o </w:t>
      </w:r>
      <w:r w:rsidR="006B7A45" w:rsidRPr="006B4F77">
        <w:rPr>
          <w:rFonts w:eastAsia="Calibri" w:cstheme="minorHAnsi"/>
          <w:bCs/>
          <w:sz w:val="24"/>
          <w:szCs w:val="24"/>
          <w:lang w:val="x-none" w:eastAsia="pl-PL"/>
        </w:rPr>
        <w:t>dofinansowanie</w:t>
      </w:r>
      <w:r w:rsidR="006B7A45">
        <w:rPr>
          <w:rFonts w:eastAsia="Calibri" w:cstheme="minorHAnsi"/>
          <w:bCs/>
          <w:sz w:val="24"/>
          <w:szCs w:val="24"/>
          <w:lang w:eastAsia="pl-PL"/>
        </w:rPr>
        <w:t xml:space="preserve"> lub o objęcie przedsięwzięcia wsparciem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, ich aktualizacj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>i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 lub modyfikacj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>i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;</w:t>
      </w:r>
    </w:p>
    <w:p w14:paraId="5C184ED8" w14:textId="3EDB28E2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procesu zawierania umów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>/porozumień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 o </w:t>
      </w:r>
      <w:r w:rsidR="006B7A45" w:rsidRPr="006B4F77">
        <w:rPr>
          <w:rFonts w:eastAsia="Calibri" w:cstheme="minorHAnsi"/>
          <w:bCs/>
          <w:sz w:val="24"/>
          <w:szCs w:val="24"/>
          <w:lang w:val="x-none" w:eastAsia="pl-PL"/>
        </w:rPr>
        <w:t>dofinansowanie</w:t>
      </w:r>
      <w:r w:rsidR="006B7A45">
        <w:rPr>
          <w:rFonts w:eastAsia="Calibri" w:cstheme="minorHAnsi"/>
          <w:bCs/>
          <w:sz w:val="24"/>
          <w:szCs w:val="24"/>
          <w:lang w:eastAsia="pl-PL"/>
        </w:rPr>
        <w:t xml:space="preserve"> lub o objęcie przedsięwzięcia wsparciem</w:t>
      </w:r>
      <w:r w:rsidR="006B7A45"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 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z beneficjentami</w:t>
      </w:r>
      <w:r w:rsidR="006B7A45">
        <w:rPr>
          <w:rFonts w:eastAsia="Calibri" w:cstheme="minorHAnsi"/>
          <w:bCs/>
          <w:sz w:val="24"/>
          <w:szCs w:val="24"/>
          <w:lang w:eastAsia="pl-PL"/>
        </w:rPr>
        <w:t>/ostatecznymi odbiorcami wsparcia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 </w:t>
      </w:r>
      <w:r w:rsidR="007C6BAC">
        <w:rPr>
          <w:rFonts w:eastAsia="Calibri" w:cstheme="minorHAnsi"/>
          <w:bCs/>
          <w:sz w:val="24"/>
          <w:szCs w:val="24"/>
          <w:lang w:eastAsia="pl-PL"/>
        </w:rPr>
        <w:t xml:space="preserve">FERC, FERS i KPO, 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w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> 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tym wnoszenia zabezpieczenia prawidłowej realizacji umowy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 oraz wydawania decyzji o dofinansowaniu projektów oraz procesu ich rozwiązywania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;</w:t>
      </w:r>
    </w:p>
    <w:p w14:paraId="2B959A4C" w14:textId="1889EA6B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weryfikowania poprawności umów/porozumień partnerskich zawieranych przez beneficjentów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>/CPPC/grantobiorców</w:t>
      </w:r>
      <w:r w:rsidR="006B7A45">
        <w:rPr>
          <w:rFonts w:eastAsia="Calibri" w:cstheme="minorHAnsi"/>
          <w:bCs/>
          <w:sz w:val="24"/>
          <w:szCs w:val="24"/>
          <w:lang w:eastAsia="pl-PL"/>
        </w:rPr>
        <w:t>/ostatecznych odbiorców wsparcia,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 oraz oceny sposobu ich realizacji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;</w:t>
      </w:r>
    </w:p>
    <w:p w14:paraId="254D29AE" w14:textId="3DF071B3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interpretacji przepisów o pomocy publicznej w kontekście konkretnych stanów faktycznych występujących w ramach projektów realizowanych przez beneficjentów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>/CPPC/grantobiorców</w:t>
      </w:r>
      <w:r w:rsidR="006B7A45">
        <w:rPr>
          <w:rFonts w:eastAsia="Calibri" w:cstheme="minorHAnsi"/>
          <w:bCs/>
          <w:sz w:val="24"/>
          <w:szCs w:val="24"/>
          <w:lang w:eastAsia="pl-PL"/>
        </w:rPr>
        <w:t>/ostatecznych odbiorców wsparcia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;</w:t>
      </w:r>
    </w:p>
    <w:p w14:paraId="1C44CA69" w14:textId="4B62F9F3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val="x-none" w:eastAsia="pl-PL"/>
        </w:rPr>
        <w:lastRenderedPageBreak/>
        <w:t>monitorowania zmian przepisów prawa mających wpływ na realizację projektów POPC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, FERC, </w:t>
      </w:r>
      <w:r w:rsidR="007C6BAC">
        <w:rPr>
          <w:rFonts w:eastAsia="Calibri" w:cstheme="minorHAnsi"/>
          <w:bCs/>
          <w:sz w:val="24"/>
          <w:szCs w:val="24"/>
          <w:lang w:eastAsia="pl-PL"/>
        </w:rPr>
        <w:t>FERS i KPO, oraz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 innych programów i funduszy obsługiwanych przez CPPC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;</w:t>
      </w:r>
    </w:p>
    <w:p w14:paraId="1615DB97" w14:textId="77777777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weryfikacji zgodności realizacji projektu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 z zasadami ogólnymi,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 z zasadami horyzontalnymi, zasadą równości szans i niedyskryminacji, zasadą równości szans kobiet i mężczyzn, wpływu projektu na środowisko naturalne; </w:t>
      </w:r>
    </w:p>
    <w:p w14:paraId="5F95E13B" w14:textId="77777777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procesu inwestycyjnego i wdrażania instrumentów finansowych;</w:t>
      </w:r>
    </w:p>
    <w:p w14:paraId="13EE892D" w14:textId="44BF4734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weryfikacji informacji o nieprawidłowościach w realizacji projektów przez beneficjentów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>/CPPC/grantobiorców</w:t>
      </w:r>
      <w:r w:rsidR="006B7A45">
        <w:rPr>
          <w:rFonts w:eastAsia="Calibri" w:cstheme="minorHAnsi"/>
          <w:bCs/>
          <w:sz w:val="24"/>
          <w:szCs w:val="24"/>
          <w:lang w:eastAsia="pl-PL"/>
        </w:rPr>
        <w:t>/ostatecznych odbiorców wsparcia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;</w:t>
      </w:r>
    </w:p>
    <w:p w14:paraId="411136AC" w14:textId="38E1CDDE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oceny 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kwalifikowalności wydatków poniesionych w ramach projektów realizowanych przez beneficjentów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>/CPPC/grantobiorców</w:t>
      </w:r>
      <w:r w:rsidR="006B7A45">
        <w:rPr>
          <w:rFonts w:eastAsia="Calibri" w:cstheme="minorHAnsi"/>
          <w:bCs/>
          <w:sz w:val="24"/>
          <w:szCs w:val="24"/>
          <w:lang w:eastAsia="pl-PL"/>
        </w:rPr>
        <w:t>/ostatecznych odbiorców wsparcia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; </w:t>
      </w:r>
    </w:p>
    <w:p w14:paraId="4C6B4E95" w14:textId="77777777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analizy zagadnień dotyczących 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zwrotu nadpłaconej pomocy, np. 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>stosowania klauzul „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claw back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>”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;</w:t>
      </w:r>
    </w:p>
    <w:p w14:paraId="4BB28BC3" w14:textId="77777777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finansów publicznych, dyscypliny finansów publicznych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>, jak również problematyki związanej z programami pomocowymi i pomocy publicznej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;</w:t>
      </w:r>
    </w:p>
    <w:p w14:paraId="1BA88551" w14:textId="77777777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oceny nadużyć finansowych, w tym praktyk antykorupcyjnych;</w:t>
      </w:r>
    </w:p>
    <w:p w14:paraId="2B0F4739" w14:textId="31482045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eastAsia="pl-PL"/>
        </w:rPr>
        <w:t>interpretacji przepisów prawa pracy w zakresie dotyczącym personelu występującego po stronie beneficjentów/grantobiorców</w:t>
      </w:r>
      <w:r w:rsidR="006B7A45">
        <w:rPr>
          <w:rFonts w:eastAsia="Calibri" w:cstheme="minorHAnsi"/>
          <w:bCs/>
          <w:sz w:val="24"/>
          <w:szCs w:val="24"/>
          <w:lang w:eastAsia="pl-PL"/>
        </w:rPr>
        <w:t>/ostatecznych odbiorców wsparcia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 jak i po stronie CPPC, których wynagrodzenia finansowane są w ramach funduszy i programów obsługiwanych przez CPPC;</w:t>
      </w:r>
    </w:p>
    <w:p w14:paraId="042C2489" w14:textId="229FB43F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>oceny zmian dokonywanych przez beneficjenta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>/grantobiorcę</w:t>
      </w:r>
      <w:r w:rsidR="006B7A45">
        <w:rPr>
          <w:rFonts w:eastAsia="Calibri" w:cstheme="minorHAnsi"/>
          <w:bCs/>
          <w:sz w:val="24"/>
          <w:szCs w:val="24"/>
          <w:lang w:eastAsia="pl-PL"/>
        </w:rPr>
        <w:t>/ostatecznego odbiorcę wsparcia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, w zakresie np. formy prawnej i organizacyjnej, mogących mieć wpływ na 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realizację projektu, w tym na </w:t>
      </w:r>
      <w:r w:rsidRPr="006B4F77">
        <w:rPr>
          <w:rFonts w:eastAsia="Calibri" w:cstheme="minorHAnsi"/>
          <w:bCs/>
          <w:sz w:val="24"/>
          <w:szCs w:val="24"/>
          <w:lang w:val="x-none" w:eastAsia="pl-PL"/>
        </w:rPr>
        <w:t xml:space="preserve">zachowanie zasady trwałości projektu; </w:t>
      </w:r>
    </w:p>
    <w:p w14:paraId="2C82528B" w14:textId="77777777" w:rsidR="00217ED8" w:rsidRPr="006B4F77" w:rsidRDefault="00217ED8" w:rsidP="00217ED8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val="x-none" w:eastAsia="pl-PL"/>
        </w:rPr>
      </w:pPr>
      <w:r w:rsidRPr="006B4F77">
        <w:rPr>
          <w:rFonts w:eastAsia="Calibri" w:cstheme="minorHAnsi"/>
          <w:bCs/>
          <w:sz w:val="24"/>
          <w:szCs w:val="24"/>
          <w:lang w:eastAsia="pl-PL"/>
        </w:rPr>
        <w:t>interpretacji przepisów dotyczących informacji publicznej oraz informacji sektora publicznego, w tym również jej ponownego wykorzystania;</w:t>
      </w:r>
    </w:p>
    <w:p w14:paraId="1EA56FDF" w14:textId="1F9474B5" w:rsidR="00217ED8" w:rsidRPr="006B7A45" w:rsidRDefault="00217ED8" w:rsidP="006B7A45">
      <w:pPr>
        <w:numPr>
          <w:ilvl w:val="0"/>
          <w:numId w:val="33"/>
        </w:numPr>
        <w:spacing w:after="120" w:line="360" w:lineRule="auto"/>
        <w:outlineLvl w:val="2"/>
        <w:rPr>
          <w:rFonts w:eastAsia="Calibri" w:cstheme="minorHAnsi"/>
          <w:bCs/>
          <w:sz w:val="24"/>
          <w:szCs w:val="24"/>
          <w:lang w:eastAsia="pl-PL"/>
        </w:rPr>
      </w:pPr>
      <w:r w:rsidRPr="006B4F77">
        <w:rPr>
          <w:rFonts w:eastAsia="Calibri" w:cstheme="minorHAnsi"/>
          <w:bCs/>
          <w:sz w:val="24"/>
          <w:szCs w:val="24"/>
          <w:lang w:eastAsia="pl-PL"/>
        </w:rPr>
        <w:t xml:space="preserve">interpretacji zagadnień związanych z kwalifikowalnością wydatków w umowach, 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br/>
        <w:t xml:space="preserve">w których CPPC jest stroną, a które zostały zawarte na podstawie przepisów ustawy z </w:t>
      </w:r>
      <w:r w:rsidRPr="006B4F77">
        <w:rPr>
          <w:rFonts w:eastAsia="Calibri" w:cstheme="minorHAnsi"/>
          <w:bCs/>
          <w:sz w:val="24"/>
          <w:szCs w:val="24"/>
          <w:lang w:eastAsia="pl-PL"/>
        </w:rPr>
        <w:lastRenderedPageBreak/>
        <w:t xml:space="preserve">dnia 11 września 2019 r. (t.j. </w:t>
      </w:r>
      <w:r w:rsidR="006B7A45" w:rsidRPr="006B7A45">
        <w:rPr>
          <w:rFonts w:eastAsia="Calibri" w:cstheme="minorHAnsi"/>
          <w:bCs/>
          <w:sz w:val="24"/>
          <w:szCs w:val="24"/>
          <w:lang w:eastAsia="pl-PL"/>
        </w:rPr>
        <w:t>Dz. U. z 2023 r. poz. 1605</w:t>
      </w:r>
      <w:r w:rsidRPr="006B7A45">
        <w:rPr>
          <w:rFonts w:eastAsia="Calibri" w:cstheme="minorHAnsi"/>
          <w:bCs/>
          <w:sz w:val="24"/>
          <w:szCs w:val="24"/>
          <w:lang w:eastAsia="pl-PL"/>
        </w:rPr>
        <w:t>, dalej jako: „PZP”) lub poza trybami wskazanymi w PZP;</w:t>
      </w:r>
    </w:p>
    <w:p w14:paraId="4BC17B87" w14:textId="46B9233A" w:rsidR="00217ED8" w:rsidRPr="006B4F77" w:rsidRDefault="00217ED8" w:rsidP="00217ED8">
      <w:pPr>
        <w:pStyle w:val="Akapitzlist"/>
        <w:numPr>
          <w:ilvl w:val="0"/>
          <w:numId w:val="27"/>
        </w:numPr>
        <w:spacing w:after="120" w:line="360" w:lineRule="auto"/>
        <w:outlineLvl w:val="2"/>
        <w:rPr>
          <w:rFonts w:cstheme="minorHAnsi"/>
          <w:bCs/>
          <w:sz w:val="24"/>
          <w:szCs w:val="24"/>
          <w:lang w:eastAsia="pl-PL"/>
        </w:rPr>
      </w:pPr>
      <w:r w:rsidRPr="006B4F77">
        <w:rPr>
          <w:rFonts w:cstheme="minorHAnsi"/>
          <w:bCs/>
          <w:sz w:val="24"/>
          <w:szCs w:val="24"/>
          <w:lang w:eastAsia="pl-PL"/>
        </w:rPr>
        <w:t>zagadnień prawnych związanych z realizacją projektów POPC, FERC,</w:t>
      </w:r>
      <w:r w:rsidR="007C6BAC">
        <w:rPr>
          <w:rFonts w:cstheme="minorHAnsi"/>
          <w:bCs/>
          <w:sz w:val="24"/>
          <w:szCs w:val="24"/>
          <w:lang w:eastAsia="pl-PL"/>
        </w:rPr>
        <w:t xml:space="preserve"> </w:t>
      </w:r>
      <w:r w:rsidR="007C6BAC">
        <w:rPr>
          <w:rFonts w:eastAsia="Calibri" w:cstheme="minorHAnsi"/>
          <w:bCs/>
          <w:sz w:val="24"/>
          <w:szCs w:val="24"/>
          <w:lang w:eastAsia="pl-PL"/>
        </w:rPr>
        <w:t>FERS i KPO,</w:t>
      </w:r>
      <w:r w:rsidRPr="006B4F77">
        <w:rPr>
          <w:rFonts w:cstheme="minorHAnsi"/>
          <w:bCs/>
          <w:sz w:val="24"/>
          <w:szCs w:val="24"/>
          <w:lang w:eastAsia="pl-PL"/>
        </w:rPr>
        <w:t xml:space="preserve"> a także innych programów i funduszy obsługiwanych przez CPPC w związku z postępowaniami administracyjnymi prowadzonymi przez CPPC jako organ administracji I instancji, w ramach realizacji </w:t>
      </w:r>
      <w:r w:rsidR="007C6BAC">
        <w:rPr>
          <w:rFonts w:cstheme="minorHAnsi"/>
          <w:bCs/>
          <w:sz w:val="24"/>
          <w:szCs w:val="24"/>
          <w:lang w:eastAsia="pl-PL"/>
        </w:rPr>
        <w:t xml:space="preserve">projektów POPC, FERC, FERS i KPO, a także </w:t>
      </w:r>
      <w:r w:rsidRPr="006B4F77">
        <w:rPr>
          <w:rFonts w:cstheme="minorHAnsi"/>
          <w:bCs/>
          <w:sz w:val="24"/>
          <w:szCs w:val="24"/>
          <w:lang w:eastAsia="pl-PL"/>
        </w:rPr>
        <w:t>programów i funduszy obsługiwanych przez CPPC, w sprawach kończących się wydaniem:</w:t>
      </w:r>
    </w:p>
    <w:p w14:paraId="58ACC8C0" w14:textId="3534AAC6" w:rsidR="00217ED8" w:rsidRPr="006B7A45" w:rsidRDefault="00217ED8" w:rsidP="006B7A45">
      <w:pPr>
        <w:pStyle w:val="Akapitzlist"/>
        <w:numPr>
          <w:ilvl w:val="0"/>
          <w:numId w:val="26"/>
        </w:numPr>
        <w:spacing w:after="40" w:line="360" w:lineRule="auto"/>
        <w:jc w:val="both"/>
        <w:outlineLvl w:val="4"/>
        <w:rPr>
          <w:rFonts w:cstheme="minorHAnsi"/>
          <w:sz w:val="24"/>
          <w:szCs w:val="24"/>
        </w:rPr>
      </w:pPr>
      <w:r w:rsidRPr="006B4F77">
        <w:rPr>
          <w:rFonts w:cstheme="minorHAnsi"/>
          <w:sz w:val="24"/>
          <w:szCs w:val="24"/>
        </w:rPr>
        <w:t xml:space="preserve">decyzji o zwrocie środków na podstawie art. 207 ust. 9 ustawy z dnia 27 sierpnia </w:t>
      </w:r>
      <w:r w:rsidRPr="006B4F77">
        <w:rPr>
          <w:rFonts w:cstheme="minorHAnsi"/>
          <w:sz w:val="24"/>
          <w:szCs w:val="24"/>
        </w:rPr>
        <w:br/>
        <w:t xml:space="preserve">2009 r. o finansach publicznych  (t.j. </w:t>
      </w:r>
      <w:r w:rsidR="006B7A45" w:rsidRPr="006B7A45">
        <w:rPr>
          <w:rFonts w:cstheme="minorHAnsi"/>
          <w:sz w:val="24"/>
          <w:szCs w:val="24"/>
        </w:rPr>
        <w:t>Dz. U. z 2023 r.</w:t>
      </w:r>
      <w:r w:rsidR="006B7A45">
        <w:rPr>
          <w:rFonts w:cstheme="minorHAnsi"/>
          <w:sz w:val="24"/>
          <w:szCs w:val="24"/>
        </w:rPr>
        <w:t xml:space="preserve"> </w:t>
      </w:r>
      <w:r w:rsidR="006B7A45" w:rsidRPr="006B7A45">
        <w:rPr>
          <w:rFonts w:cstheme="minorHAnsi"/>
          <w:sz w:val="24"/>
          <w:szCs w:val="24"/>
        </w:rPr>
        <w:t xml:space="preserve">poz. 1270 </w:t>
      </w:r>
      <w:r w:rsidRPr="006B7A45">
        <w:rPr>
          <w:rFonts w:cstheme="minorHAnsi"/>
          <w:sz w:val="24"/>
          <w:szCs w:val="24"/>
        </w:rPr>
        <w:t xml:space="preserve">ze zm., dalej „UFP”) oraz </w:t>
      </w:r>
      <w:r w:rsidR="007F5516">
        <w:rPr>
          <w:rFonts w:cstheme="minorHAnsi"/>
          <w:sz w:val="24"/>
          <w:szCs w:val="24"/>
        </w:rPr>
        <w:t xml:space="preserve">art. 14 ls </w:t>
      </w:r>
      <w:r w:rsidRPr="006B7A45">
        <w:rPr>
          <w:rFonts w:cstheme="minorHAnsi"/>
          <w:sz w:val="24"/>
          <w:szCs w:val="24"/>
        </w:rPr>
        <w:t>ustawy z dnia 6 grudnia 2006 r. o zasadach prowadzenia polityki rozwoju</w:t>
      </w:r>
      <w:r w:rsidR="007C6BAC" w:rsidRPr="006B7A45">
        <w:rPr>
          <w:rFonts w:cstheme="minorHAnsi"/>
          <w:sz w:val="24"/>
          <w:szCs w:val="24"/>
        </w:rPr>
        <w:t xml:space="preserve">, </w:t>
      </w:r>
      <w:r w:rsidRPr="006B7A45">
        <w:rPr>
          <w:rFonts w:cstheme="minorHAnsi"/>
          <w:sz w:val="24"/>
          <w:szCs w:val="24"/>
        </w:rPr>
        <w:t>w związku z:</w:t>
      </w:r>
    </w:p>
    <w:p w14:paraId="779E5E5D" w14:textId="7AAAF773" w:rsidR="00217ED8" w:rsidRPr="006B4F77" w:rsidRDefault="00217ED8" w:rsidP="00217ED8">
      <w:pPr>
        <w:numPr>
          <w:ilvl w:val="0"/>
          <w:numId w:val="25"/>
        </w:numPr>
        <w:spacing w:after="120" w:line="360" w:lineRule="auto"/>
        <w:ind w:left="993" w:hanging="426"/>
        <w:contextualSpacing/>
        <w:rPr>
          <w:rFonts w:cstheme="minorHAnsi"/>
          <w:sz w:val="24"/>
          <w:szCs w:val="24"/>
          <w:lang w:val="x-none"/>
        </w:rPr>
      </w:pPr>
      <w:r w:rsidRPr="006B4F77">
        <w:rPr>
          <w:rFonts w:eastAsia="Calibri" w:cstheme="minorHAnsi"/>
          <w:sz w:val="24"/>
          <w:szCs w:val="24"/>
          <w:lang w:val="x-none"/>
        </w:rPr>
        <w:t>korekt</w:t>
      </w:r>
      <w:r w:rsidRPr="006B4F77">
        <w:rPr>
          <w:rFonts w:eastAsia="Calibri" w:cstheme="minorHAnsi"/>
          <w:sz w:val="24"/>
          <w:szCs w:val="24"/>
        </w:rPr>
        <w:t>ą lub pomniejszeniem kwoty wydatków kwalifikowalnych z </w:t>
      </w:r>
      <w:r w:rsidRPr="006B4F77">
        <w:rPr>
          <w:rFonts w:eastAsia="Calibri" w:cstheme="minorHAnsi"/>
          <w:sz w:val="24"/>
          <w:szCs w:val="24"/>
          <w:lang w:val="x-none"/>
        </w:rPr>
        <w:t>tytułu nieprawidłowości przy realizacji projektów dofinansowanych ze środków POPC</w:t>
      </w:r>
      <w:r w:rsidRPr="006B4F77">
        <w:rPr>
          <w:rFonts w:eastAsia="Calibri" w:cstheme="minorHAnsi"/>
          <w:sz w:val="24"/>
          <w:szCs w:val="24"/>
        </w:rPr>
        <w:t>,  FERC,</w:t>
      </w:r>
      <w:r w:rsidR="007C6BAC">
        <w:rPr>
          <w:rFonts w:eastAsia="Calibri" w:cstheme="minorHAnsi"/>
          <w:sz w:val="24"/>
          <w:szCs w:val="24"/>
        </w:rPr>
        <w:t xml:space="preserve"> FERS i KPO,</w:t>
      </w:r>
      <w:r w:rsidRPr="006B4F77">
        <w:rPr>
          <w:rFonts w:eastAsia="Calibri" w:cstheme="minorHAnsi"/>
          <w:sz w:val="24"/>
          <w:szCs w:val="24"/>
        </w:rPr>
        <w:t xml:space="preserve"> </w:t>
      </w:r>
      <w:r w:rsidRPr="006B4F77">
        <w:rPr>
          <w:rFonts w:eastAsia="Calibri" w:cstheme="minorHAnsi"/>
          <w:bCs/>
          <w:sz w:val="24"/>
          <w:szCs w:val="24"/>
        </w:rPr>
        <w:t>a także innych programów i funduszy obsługiwanych przez CPPC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, w szczególności w związku z naruszeniami prawa zamówień publicznych lub zasad kwalifikowalności wydatków znajdujących zastosowanie do beneficjentów nie objętych obowiązkiem stosowania </w:t>
      </w:r>
      <w:r w:rsidRPr="006B4F77">
        <w:rPr>
          <w:rFonts w:eastAsia="Calibri" w:cstheme="minorHAnsi"/>
          <w:sz w:val="24"/>
          <w:szCs w:val="24"/>
        </w:rPr>
        <w:t>PZP</w:t>
      </w:r>
      <w:r w:rsidRPr="006B4F77">
        <w:rPr>
          <w:rFonts w:eastAsia="Calibri" w:cstheme="minorHAnsi"/>
          <w:sz w:val="24"/>
          <w:szCs w:val="24"/>
          <w:lang w:val="x-none"/>
        </w:rPr>
        <w:t>,</w:t>
      </w:r>
    </w:p>
    <w:p w14:paraId="11971637" w14:textId="600AE29D" w:rsidR="00217ED8" w:rsidRPr="006B4F77" w:rsidRDefault="00217ED8" w:rsidP="00217ED8">
      <w:pPr>
        <w:numPr>
          <w:ilvl w:val="0"/>
          <w:numId w:val="25"/>
        </w:numPr>
        <w:spacing w:after="120" w:line="360" w:lineRule="auto"/>
        <w:ind w:left="993" w:hanging="426"/>
        <w:contextualSpacing/>
        <w:jc w:val="both"/>
        <w:rPr>
          <w:rFonts w:cstheme="minorHAnsi"/>
          <w:sz w:val="24"/>
          <w:szCs w:val="24"/>
          <w:lang w:val="x-none"/>
        </w:rPr>
      </w:pPr>
      <w:r w:rsidRPr="006B4F77">
        <w:rPr>
          <w:rFonts w:eastAsia="Calibri" w:cstheme="minorHAnsi"/>
          <w:sz w:val="24"/>
          <w:szCs w:val="24"/>
          <w:lang w:val="x-none"/>
        </w:rPr>
        <w:t>niedochowaniem przez beneficjentów trwałości operacji (projektu), o której mowa w art. 57 ust. 1 rozporządzenia Rady 1083/2006 z dnia 11 lipca 2006 r. ustanawiającego przepisy ogólne dotyczące Europejskiego Funduszu Rozwoju Regionalnego, Europejskiego Funduszu Społecznego oraz Funduszu Spójności i uchylające</w:t>
      </w:r>
      <w:r w:rsidRPr="006B4F77">
        <w:rPr>
          <w:rFonts w:eastAsia="Calibri" w:cstheme="minorHAnsi"/>
          <w:sz w:val="24"/>
          <w:szCs w:val="24"/>
        </w:rPr>
        <w:t>go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rozporządzenie (WE) nr 1260/1999 (Dz.U.UE.L.2006.210.25</w:t>
      </w:r>
      <w:r w:rsidRPr="006B4F77">
        <w:rPr>
          <w:rFonts w:eastAsia="Calibri" w:cstheme="minorHAnsi"/>
          <w:sz w:val="24"/>
          <w:szCs w:val="24"/>
        </w:rPr>
        <w:t>,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z</w:t>
      </w:r>
      <w:r w:rsidRPr="006B4F77">
        <w:rPr>
          <w:rFonts w:eastAsia="Calibri" w:cstheme="minorHAnsi"/>
          <w:sz w:val="24"/>
          <w:szCs w:val="24"/>
        </w:rPr>
        <w:t>e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zm.)</w:t>
      </w:r>
      <w:r w:rsidRPr="006B4F77">
        <w:rPr>
          <w:rFonts w:eastAsia="Calibri" w:cstheme="minorHAnsi"/>
          <w:sz w:val="24"/>
          <w:szCs w:val="24"/>
        </w:rPr>
        <w:t xml:space="preserve"> </w:t>
      </w:r>
      <w:r w:rsidRPr="006B4F77">
        <w:rPr>
          <w:rFonts w:cstheme="minorHAnsi"/>
          <w:sz w:val="24"/>
          <w:szCs w:val="24"/>
        </w:rPr>
        <w:t xml:space="preserve">oraz </w:t>
      </w:r>
      <w:r w:rsidRPr="006B4F77">
        <w:rPr>
          <w:rFonts w:cstheme="minorHAnsi"/>
          <w:sz w:val="24"/>
          <w:szCs w:val="24"/>
          <w:lang w:val="x-none"/>
        </w:rPr>
        <w:t>w art. 7</w:t>
      </w:r>
      <w:r w:rsidRPr="006B4F77">
        <w:rPr>
          <w:rFonts w:cstheme="minorHAnsi"/>
          <w:sz w:val="24"/>
          <w:szCs w:val="24"/>
        </w:rPr>
        <w:t>1</w:t>
      </w:r>
      <w:r w:rsidRPr="006B4F77">
        <w:rPr>
          <w:rFonts w:cstheme="minorHAnsi"/>
          <w:sz w:val="24"/>
          <w:szCs w:val="24"/>
          <w:lang w:val="x-none"/>
        </w:rPr>
        <w:t xml:space="preserve"> Rozporządzenia 1</w:t>
      </w:r>
      <w:r w:rsidRPr="006B4F77">
        <w:rPr>
          <w:rFonts w:cstheme="minorHAnsi"/>
          <w:sz w:val="24"/>
          <w:szCs w:val="24"/>
        </w:rPr>
        <w:t>303</w:t>
      </w:r>
      <w:r w:rsidRPr="006B4F77">
        <w:rPr>
          <w:rFonts w:cstheme="minorHAnsi"/>
          <w:sz w:val="24"/>
          <w:szCs w:val="24"/>
          <w:lang w:val="x-none"/>
        </w:rPr>
        <w:t>/20</w:t>
      </w:r>
      <w:r w:rsidRPr="006B4F77">
        <w:rPr>
          <w:rFonts w:cstheme="minorHAnsi"/>
          <w:sz w:val="24"/>
          <w:szCs w:val="24"/>
        </w:rPr>
        <w:t xml:space="preserve">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UE. L. z 2013 r. Nr 347, str. 320 z późn. zm.) oraz art. 65 ust. 1 </w:t>
      </w:r>
      <w:hyperlink r:id="rId9" w:anchor="/document/69456573?cm=DOCUMENT" w:tgtFrame="_blank" w:history="1">
        <w:r w:rsidR="000041C4" w:rsidRPr="006B4F77">
          <w:rPr>
            <w:rFonts w:cstheme="minorHAnsi"/>
            <w:sz w:val="24"/>
            <w:szCs w:val="24"/>
          </w:rPr>
          <w:t>rozporządzeni</w:t>
        </w:r>
        <w:r w:rsidR="000041C4">
          <w:rPr>
            <w:rFonts w:cstheme="minorHAnsi"/>
            <w:sz w:val="24"/>
            <w:szCs w:val="24"/>
          </w:rPr>
          <w:t>a</w:t>
        </w:r>
      </w:hyperlink>
      <w:r w:rsidR="000041C4" w:rsidRPr="006B4F77">
        <w:rPr>
          <w:rFonts w:cstheme="minorHAnsi"/>
          <w:sz w:val="24"/>
          <w:szCs w:val="24"/>
        </w:rPr>
        <w:t xml:space="preserve"> </w:t>
      </w:r>
      <w:r w:rsidRPr="006B4F77">
        <w:rPr>
          <w:rFonts w:cstheme="minorHAnsi"/>
          <w:sz w:val="24"/>
          <w:szCs w:val="24"/>
        </w:rPr>
        <w:t xml:space="preserve">Parlamentu </w:t>
      </w:r>
      <w:r w:rsidRPr="006B4F77">
        <w:rPr>
          <w:rFonts w:cstheme="minorHAnsi"/>
          <w:sz w:val="24"/>
          <w:szCs w:val="24"/>
        </w:rPr>
        <w:lastRenderedPageBreak/>
        <w:t>Europejskiego i Rady (UE) 2021/1060 z dnia 24 czerwca 2021 r. ustanawiające</w:t>
      </w:r>
      <w:r w:rsidR="000041C4">
        <w:rPr>
          <w:rFonts w:cstheme="minorHAnsi"/>
          <w:sz w:val="24"/>
          <w:szCs w:val="24"/>
        </w:rPr>
        <w:t>go</w:t>
      </w:r>
      <w:r w:rsidRPr="006B4F77">
        <w:rPr>
          <w:rFonts w:cstheme="minorHAnsi"/>
          <w:sz w:val="24"/>
          <w:szCs w:val="24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zm.),</w:t>
      </w:r>
    </w:p>
    <w:p w14:paraId="6C3BFC57" w14:textId="77777777" w:rsidR="00217ED8" w:rsidRPr="006B4F77" w:rsidRDefault="00217ED8" w:rsidP="00217ED8">
      <w:pPr>
        <w:numPr>
          <w:ilvl w:val="0"/>
          <w:numId w:val="25"/>
        </w:numPr>
        <w:spacing w:after="120" w:line="360" w:lineRule="auto"/>
        <w:ind w:left="993" w:hanging="426"/>
        <w:contextualSpacing/>
        <w:jc w:val="both"/>
        <w:rPr>
          <w:rFonts w:cstheme="minorHAnsi"/>
          <w:sz w:val="24"/>
          <w:szCs w:val="24"/>
          <w:lang w:val="x-none"/>
        </w:rPr>
      </w:pPr>
      <w:r w:rsidRPr="006B4F77">
        <w:rPr>
          <w:rFonts w:eastAsia="Calibri" w:cstheme="minorHAnsi"/>
          <w:sz w:val="24"/>
          <w:szCs w:val="24"/>
        </w:rPr>
        <w:t>realizowaniem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projektów w sposób niezgodny z prawem, w szczególności z przepisami o ochronie środowiska i </w:t>
      </w:r>
      <w:r w:rsidRPr="006B4F77">
        <w:rPr>
          <w:rFonts w:eastAsia="Calibri" w:cstheme="minorHAnsi"/>
          <w:sz w:val="24"/>
          <w:szCs w:val="24"/>
        </w:rPr>
        <w:t xml:space="preserve">przepisami o </w:t>
      </w:r>
      <w:r w:rsidRPr="006B4F77">
        <w:rPr>
          <w:rFonts w:eastAsia="Calibri" w:cstheme="minorHAnsi"/>
          <w:sz w:val="24"/>
          <w:szCs w:val="24"/>
          <w:lang w:val="x-none"/>
        </w:rPr>
        <w:t>pomocy publicznej,</w:t>
      </w:r>
    </w:p>
    <w:p w14:paraId="544C96EE" w14:textId="77777777" w:rsidR="00217ED8" w:rsidRPr="006B4F77" w:rsidRDefault="00217ED8" w:rsidP="00217ED8">
      <w:pPr>
        <w:numPr>
          <w:ilvl w:val="0"/>
          <w:numId w:val="25"/>
        </w:numPr>
        <w:spacing w:after="120" w:line="360" w:lineRule="auto"/>
        <w:ind w:left="993" w:hanging="426"/>
        <w:contextualSpacing/>
        <w:jc w:val="both"/>
        <w:rPr>
          <w:rFonts w:cstheme="minorHAnsi"/>
          <w:sz w:val="24"/>
          <w:szCs w:val="24"/>
          <w:lang w:val="x-none"/>
        </w:rPr>
      </w:pPr>
      <w:r w:rsidRPr="006B4F77">
        <w:rPr>
          <w:rFonts w:eastAsia="Calibri" w:cstheme="minorHAnsi"/>
          <w:sz w:val="24"/>
          <w:szCs w:val="24"/>
          <w:lang w:val="x-none"/>
        </w:rPr>
        <w:t xml:space="preserve">zaistnieniem innych okoliczności spełniających przesłanki </w:t>
      </w:r>
      <w:r w:rsidRPr="006B4F77">
        <w:rPr>
          <w:rFonts w:eastAsia="Calibri" w:cstheme="minorHAnsi"/>
          <w:sz w:val="24"/>
          <w:szCs w:val="24"/>
        </w:rPr>
        <w:t>zwrotu środków;;</w:t>
      </w:r>
    </w:p>
    <w:p w14:paraId="19471615" w14:textId="763AE6D4" w:rsidR="00217ED8" w:rsidRPr="006B4F77" w:rsidRDefault="00217ED8" w:rsidP="00217ED8">
      <w:pPr>
        <w:pStyle w:val="Akapitzlist"/>
        <w:numPr>
          <w:ilvl w:val="0"/>
          <w:numId w:val="26"/>
        </w:numPr>
        <w:spacing w:after="40" w:line="360" w:lineRule="auto"/>
        <w:jc w:val="both"/>
        <w:outlineLvl w:val="4"/>
        <w:rPr>
          <w:rFonts w:cstheme="minorHAnsi"/>
          <w:sz w:val="24"/>
          <w:szCs w:val="24"/>
        </w:rPr>
      </w:pPr>
      <w:r w:rsidRPr="006B4F77">
        <w:rPr>
          <w:rFonts w:cstheme="minorHAnsi"/>
          <w:sz w:val="24"/>
          <w:szCs w:val="24"/>
        </w:rPr>
        <w:t>decyzji o zapłacie odsetek, w tym</w:t>
      </w:r>
      <w:r w:rsidR="00B04291">
        <w:rPr>
          <w:rFonts w:cstheme="minorHAnsi"/>
          <w:sz w:val="24"/>
          <w:szCs w:val="24"/>
        </w:rPr>
        <w:t xml:space="preserve"> </w:t>
      </w:r>
      <w:r w:rsidRPr="006B4F77">
        <w:rPr>
          <w:rFonts w:cstheme="minorHAnsi"/>
          <w:sz w:val="24"/>
          <w:szCs w:val="24"/>
        </w:rPr>
        <w:t>na podstawie art. 61 ust. 1 pkt 1 w zw. z art. 189 ust. 3b UFP;</w:t>
      </w:r>
    </w:p>
    <w:p w14:paraId="5726F380" w14:textId="77777777" w:rsidR="00217ED8" w:rsidRPr="006B4F77" w:rsidRDefault="00217ED8" w:rsidP="00217ED8">
      <w:pPr>
        <w:pStyle w:val="Akapitzlist"/>
        <w:numPr>
          <w:ilvl w:val="0"/>
          <w:numId w:val="26"/>
        </w:numPr>
        <w:spacing w:after="40" w:line="360" w:lineRule="auto"/>
        <w:jc w:val="both"/>
        <w:outlineLvl w:val="4"/>
        <w:rPr>
          <w:rFonts w:cstheme="minorHAnsi"/>
          <w:sz w:val="24"/>
          <w:szCs w:val="24"/>
        </w:rPr>
      </w:pPr>
      <w:r w:rsidRPr="006B4F77">
        <w:rPr>
          <w:rFonts w:cstheme="minorHAnsi"/>
          <w:sz w:val="24"/>
          <w:szCs w:val="24"/>
        </w:rPr>
        <w:t>decyzji w przedmiocie udzielenia ulg (umarzanie należności w całości lub w części, odraczanie terminu spłaty całości lub części należności, rozkładanie na raty płatności całości albo części należności) w spłacie niepodatkowych należności budżetowych o charakterze publiczno-prawnym, na podstawie art. 56 oraz 64 UFP;</w:t>
      </w:r>
    </w:p>
    <w:p w14:paraId="0C586778" w14:textId="77777777" w:rsidR="00217ED8" w:rsidRPr="006B4F77" w:rsidRDefault="00217ED8" w:rsidP="00217ED8">
      <w:pPr>
        <w:pStyle w:val="Akapitzlist"/>
        <w:spacing w:after="60" w:line="360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6B4F77">
        <w:rPr>
          <w:rFonts w:cstheme="minorHAnsi"/>
          <w:bCs/>
          <w:sz w:val="24"/>
          <w:szCs w:val="24"/>
        </w:rPr>
        <w:t>3. występowania przed sądami/organami administracji publicznej, przy czym wykonanie usługi będzie poprzedzone konsultacjami z Wykonawcą w celu ustalenia, w szczególności sposobu reprezentacji Zamawiającego, realizacji zlecenia wykonawczego i sposobu wykonania tego typu usług prawniczych. Wykonawca będzie zobowiązany:</w:t>
      </w:r>
    </w:p>
    <w:p w14:paraId="368624A3" w14:textId="77777777" w:rsidR="00217ED8" w:rsidRPr="006B4F77" w:rsidRDefault="00217ED8" w:rsidP="00217ED8">
      <w:pPr>
        <w:pStyle w:val="Akapitzlist"/>
        <w:numPr>
          <w:ilvl w:val="0"/>
          <w:numId w:val="29"/>
        </w:numPr>
        <w:spacing w:after="60" w:line="360" w:lineRule="auto"/>
        <w:ind w:left="709" w:hanging="425"/>
        <w:jc w:val="both"/>
        <w:rPr>
          <w:rFonts w:cstheme="minorHAnsi"/>
          <w:bCs/>
          <w:sz w:val="24"/>
          <w:szCs w:val="24"/>
        </w:rPr>
      </w:pPr>
      <w:r w:rsidRPr="006B4F77">
        <w:rPr>
          <w:rFonts w:cstheme="minorHAnsi"/>
          <w:bCs/>
          <w:sz w:val="24"/>
          <w:szCs w:val="24"/>
        </w:rPr>
        <w:t>nie później niż w ciągu 3 dni od dnia przekazania materiałów związanych ze sprawą, dokonać oceny i wskazać ścieżkę postępowania (uwzględnienie zarzutów bądź ich nieuwzględnienie) oraz wskazać pełnomocnika ze swojej strony, który będzie reprezentował Zamawiającego;</w:t>
      </w:r>
    </w:p>
    <w:p w14:paraId="533843FA" w14:textId="5FF718C3" w:rsidR="00217ED8" w:rsidRPr="006B4F77" w:rsidRDefault="00217ED8" w:rsidP="00217ED8">
      <w:pPr>
        <w:pStyle w:val="Akapitzlist"/>
        <w:numPr>
          <w:ilvl w:val="0"/>
          <w:numId w:val="29"/>
        </w:numPr>
        <w:spacing w:after="60" w:line="360" w:lineRule="auto"/>
        <w:ind w:left="709" w:hanging="425"/>
        <w:jc w:val="both"/>
        <w:rPr>
          <w:rFonts w:cstheme="minorHAnsi"/>
          <w:bCs/>
          <w:sz w:val="24"/>
          <w:szCs w:val="24"/>
        </w:rPr>
      </w:pPr>
      <w:r w:rsidRPr="006B4F77">
        <w:rPr>
          <w:rFonts w:cstheme="minorHAnsi"/>
          <w:bCs/>
          <w:sz w:val="24"/>
          <w:szCs w:val="24"/>
        </w:rPr>
        <w:t>nie później niż  w ciągu 4 dni przed pierwszą rozprawą</w:t>
      </w:r>
      <w:r w:rsidR="00581498">
        <w:rPr>
          <w:rFonts w:cstheme="minorHAnsi"/>
          <w:bCs/>
          <w:sz w:val="24"/>
          <w:szCs w:val="24"/>
        </w:rPr>
        <w:t>/posiedzeniem</w:t>
      </w:r>
      <w:r w:rsidRPr="006B4F77">
        <w:rPr>
          <w:rFonts w:cstheme="minorHAnsi"/>
          <w:bCs/>
          <w:sz w:val="24"/>
          <w:szCs w:val="24"/>
        </w:rPr>
        <w:t xml:space="preserve"> przygotować i przekazać do akceptacji Zamawiającego odpowiedź na pozew/skargę/odwołanie</w:t>
      </w:r>
      <w:r w:rsidR="00581498">
        <w:rPr>
          <w:rFonts w:cstheme="minorHAnsi"/>
          <w:bCs/>
          <w:sz w:val="24"/>
          <w:szCs w:val="24"/>
        </w:rPr>
        <w:t>/pismo procesowe</w:t>
      </w:r>
      <w:r w:rsidRPr="006B4F77">
        <w:rPr>
          <w:rFonts w:cstheme="minorHAnsi"/>
          <w:bCs/>
          <w:sz w:val="24"/>
          <w:szCs w:val="24"/>
        </w:rPr>
        <w:t xml:space="preserve"> (jeśli dotyczy), </w:t>
      </w:r>
    </w:p>
    <w:p w14:paraId="3094A197" w14:textId="77777777" w:rsidR="00217ED8" w:rsidRPr="006B4F77" w:rsidRDefault="00217ED8" w:rsidP="00217ED8">
      <w:pPr>
        <w:pStyle w:val="Akapitzlist"/>
        <w:numPr>
          <w:ilvl w:val="0"/>
          <w:numId w:val="29"/>
        </w:numPr>
        <w:spacing w:after="60" w:line="360" w:lineRule="auto"/>
        <w:ind w:left="709" w:hanging="425"/>
        <w:jc w:val="both"/>
        <w:rPr>
          <w:rFonts w:cstheme="minorHAnsi"/>
          <w:bCs/>
          <w:sz w:val="24"/>
          <w:szCs w:val="24"/>
        </w:rPr>
      </w:pPr>
      <w:r w:rsidRPr="006B4F77">
        <w:rPr>
          <w:rFonts w:cstheme="minorHAnsi"/>
          <w:bCs/>
          <w:sz w:val="24"/>
          <w:szCs w:val="24"/>
        </w:rPr>
        <w:t>stawić się w wyznaczonym terminie na wezwanie Zamawiającego do jego siedziby lub na spotkanie za pośrednictwem aplikacji MS Teams (wedle wyboru Zamawiającego), celem omówienia przedmiotu odwołania i strategii postępowania,</w:t>
      </w:r>
    </w:p>
    <w:p w14:paraId="5107FA8B" w14:textId="77777777" w:rsidR="00217ED8" w:rsidRPr="006B4F77" w:rsidRDefault="00217ED8" w:rsidP="00217ED8">
      <w:pPr>
        <w:pStyle w:val="Akapitzlist"/>
        <w:numPr>
          <w:ilvl w:val="0"/>
          <w:numId w:val="29"/>
        </w:numPr>
        <w:spacing w:after="60" w:line="360" w:lineRule="auto"/>
        <w:ind w:left="709" w:hanging="425"/>
        <w:jc w:val="both"/>
        <w:rPr>
          <w:rFonts w:cstheme="minorHAnsi"/>
          <w:bCs/>
          <w:sz w:val="24"/>
          <w:szCs w:val="24"/>
        </w:rPr>
      </w:pPr>
      <w:r w:rsidRPr="006B4F77">
        <w:rPr>
          <w:rFonts w:cstheme="minorHAnsi"/>
          <w:bCs/>
          <w:sz w:val="24"/>
          <w:szCs w:val="24"/>
        </w:rPr>
        <w:lastRenderedPageBreak/>
        <w:t>przygotowywać i składać uzgodnione z Zamawiającym pisma procesowe oraz inne dokumenty niezbędne do zabezpieczenia interesu Zamawiającego w toczącym się postępowaniu;</w:t>
      </w:r>
    </w:p>
    <w:p w14:paraId="3A23746C" w14:textId="77777777" w:rsidR="00217ED8" w:rsidRPr="006B4F77" w:rsidRDefault="00217ED8" w:rsidP="00217ED8">
      <w:pPr>
        <w:pStyle w:val="Akapitzlist"/>
        <w:numPr>
          <w:ilvl w:val="0"/>
          <w:numId w:val="29"/>
        </w:numPr>
        <w:spacing w:after="60" w:line="360" w:lineRule="auto"/>
        <w:ind w:left="709" w:hanging="425"/>
        <w:jc w:val="both"/>
        <w:rPr>
          <w:rFonts w:cstheme="minorHAnsi"/>
          <w:bCs/>
          <w:sz w:val="24"/>
          <w:szCs w:val="24"/>
        </w:rPr>
      </w:pPr>
      <w:r w:rsidRPr="006B4F77">
        <w:rPr>
          <w:rFonts w:cstheme="minorHAnsi"/>
          <w:bCs/>
          <w:sz w:val="24"/>
          <w:szCs w:val="24"/>
        </w:rPr>
        <w:t>odpowiadać niezwłocznie na mailowe i telefoniczne pytania Zamawiającego związane z pozwem/skargą/odwołaniem.</w:t>
      </w:r>
    </w:p>
    <w:p w14:paraId="7D362979" w14:textId="15DC234C" w:rsidR="00217ED8" w:rsidRPr="000E6E50" w:rsidRDefault="007176F8" w:rsidP="007176F8">
      <w:pPr>
        <w:spacing w:after="6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4. </w:t>
      </w:r>
      <w:bookmarkStart w:id="0" w:name="_Hlk160546657"/>
      <w:r w:rsidR="00440C65" w:rsidRPr="006B4F77">
        <w:rPr>
          <w:rFonts w:cstheme="minorHAnsi"/>
          <w:bCs/>
          <w:color w:val="000000" w:themeColor="text1"/>
          <w:sz w:val="24"/>
          <w:szCs w:val="24"/>
        </w:rPr>
        <w:t>W</w:t>
      </w:r>
      <w:bookmarkEnd w:id="0"/>
      <w:r w:rsidR="00440C65" w:rsidRPr="006B4F77">
        <w:rPr>
          <w:rFonts w:cstheme="minorHAnsi"/>
          <w:bCs/>
          <w:color w:val="000000" w:themeColor="text1"/>
          <w:sz w:val="24"/>
          <w:szCs w:val="24"/>
        </w:rPr>
        <w:t xml:space="preserve"> zakresie świadczenia usługi doradztwa prawnego określonym w pkt. 1 i 2, Wykonawca zobowiązany będzie udzielić wsparcia, m.in. poprzez sporządzenie pisemnych stanowisk, opinii prawnych, konsultacje w siedzibie Zamawiającego, </w:t>
      </w:r>
      <w:r w:rsidR="00440C65">
        <w:rPr>
          <w:rFonts w:cstheme="minorHAnsi"/>
          <w:bCs/>
          <w:color w:val="000000" w:themeColor="text1"/>
          <w:sz w:val="24"/>
          <w:szCs w:val="24"/>
        </w:rPr>
        <w:t xml:space="preserve">konsultacje </w:t>
      </w:r>
      <w:r w:rsidR="00440C65" w:rsidRPr="006B4F77">
        <w:rPr>
          <w:rFonts w:cstheme="minorHAnsi"/>
          <w:bCs/>
          <w:color w:val="000000" w:themeColor="text1"/>
          <w:sz w:val="24"/>
          <w:szCs w:val="24"/>
        </w:rPr>
        <w:t>telefoniczne lub mailowe lub za pośrednictwem aplikacji MS Teams lub innej wskazanej przez Zamawiającego, dotyczące zagadnień stanowiących przedmiot zamówienia.</w:t>
      </w:r>
    </w:p>
    <w:p w14:paraId="21E209C9" w14:textId="5A97E874" w:rsidR="00217ED8" w:rsidRPr="006B4F77" w:rsidRDefault="007176F8" w:rsidP="00217ED8">
      <w:pPr>
        <w:pStyle w:val="Akapitzlist"/>
        <w:spacing w:after="60" w:line="360" w:lineRule="auto"/>
        <w:ind w:hanging="7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5. </w:t>
      </w:r>
      <w:r w:rsidR="00440C65" w:rsidRPr="006B4F77">
        <w:rPr>
          <w:rFonts w:cstheme="minorHAnsi"/>
          <w:bCs/>
          <w:sz w:val="24"/>
          <w:szCs w:val="24"/>
        </w:rPr>
        <w:t>W</w:t>
      </w:r>
      <w:r w:rsidR="00440C65" w:rsidRPr="006B4F77">
        <w:rPr>
          <w:rFonts w:cstheme="minorHAnsi"/>
          <w:b/>
          <w:bCs/>
          <w:sz w:val="24"/>
          <w:szCs w:val="24"/>
        </w:rPr>
        <w:t> </w:t>
      </w:r>
      <w:r w:rsidR="00440C65" w:rsidRPr="006B4F77">
        <w:rPr>
          <w:rFonts w:cstheme="minorHAnsi"/>
          <w:sz w:val="24"/>
          <w:szCs w:val="24"/>
        </w:rPr>
        <w:t>zakresie dotyczącym pkt. 2 Wykonawca będzie zobowiązany</w:t>
      </w:r>
      <w:r w:rsidR="00440C65">
        <w:rPr>
          <w:rFonts w:cstheme="minorHAnsi"/>
          <w:sz w:val="24"/>
          <w:szCs w:val="24"/>
        </w:rPr>
        <w:t xml:space="preserve"> dodatkowo </w:t>
      </w:r>
      <w:r w:rsidR="00440C65" w:rsidRPr="006B4F77">
        <w:rPr>
          <w:rFonts w:cstheme="minorHAnsi"/>
          <w:sz w:val="24"/>
          <w:szCs w:val="24"/>
        </w:rPr>
        <w:t>do</w:t>
      </w:r>
      <w:r w:rsidR="00217ED8" w:rsidRPr="006B4F77">
        <w:rPr>
          <w:rFonts w:cstheme="minorHAnsi"/>
          <w:sz w:val="24"/>
          <w:szCs w:val="24"/>
        </w:rPr>
        <w:t>:</w:t>
      </w:r>
    </w:p>
    <w:p w14:paraId="779E1D30" w14:textId="77777777" w:rsidR="00217ED8" w:rsidRPr="006B4F77" w:rsidRDefault="00217ED8" w:rsidP="00217ED8">
      <w:pPr>
        <w:pStyle w:val="Akapitzlist"/>
        <w:numPr>
          <w:ilvl w:val="0"/>
          <w:numId w:val="28"/>
        </w:numPr>
        <w:spacing w:after="40" w:line="360" w:lineRule="auto"/>
        <w:ind w:hanging="294"/>
        <w:jc w:val="both"/>
        <w:outlineLvl w:val="4"/>
        <w:rPr>
          <w:rFonts w:cstheme="minorHAnsi"/>
          <w:sz w:val="24"/>
          <w:szCs w:val="24"/>
        </w:rPr>
      </w:pPr>
      <w:r w:rsidRPr="006B4F77">
        <w:rPr>
          <w:rFonts w:cstheme="minorHAnsi"/>
          <w:sz w:val="24"/>
          <w:szCs w:val="24"/>
        </w:rPr>
        <w:t>przeanalizowania akt sprawy, w skład których wchodzą, w szczególności:</w:t>
      </w:r>
    </w:p>
    <w:p w14:paraId="07D2AAFC" w14:textId="2A4AFD08" w:rsidR="00217ED8" w:rsidRPr="006B4F77" w:rsidRDefault="00217ED8" w:rsidP="00217ED8">
      <w:pPr>
        <w:numPr>
          <w:ilvl w:val="0"/>
          <w:numId w:val="23"/>
        </w:numPr>
        <w:spacing w:after="120"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  <w:lang w:val="x-none"/>
        </w:rPr>
      </w:pPr>
      <w:r w:rsidRPr="006B4F77">
        <w:rPr>
          <w:rFonts w:eastAsia="Calibri" w:cstheme="minorHAnsi"/>
          <w:sz w:val="24"/>
          <w:szCs w:val="24"/>
          <w:lang w:val="x-none"/>
        </w:rPr>
        <w:t>w przypadku decyzji o zwrocie, o której mowa w </w:t>
      </w:r>
      <w:r w:rsidRPr="006B4F77">
        <w:rPr>
          <w:rFonts w:eastAsia="Calibri" w:cstheme="minorHAnsi"/>
          <w:sz w:val="24"/>
          <w:szCs w:val="24"/>
        </w:rPr>
        <w:t>ust. 1 pkt 1, m.in.</w:t>
      </w:r>
      <w:r w:rsidRPr="006B4F77">
        <w:rPr>
          <w:rFonts w:eastAsia="Calibri" w:cstheme="minorHAnsi"/>
          <w:sz w:val="24"/>
          <w:szCs w:val="24"/>
          <w:lang w:val="x-none"/>
        </w:rPr>
        <w:t>: umowa o dofinansowanie projektu,</w:t>
      </w:r>
      <w:r w:rsidR="00637D95" w:rsidRPr="00637D95">
        <w:rPr>
          <w:rFonts w:eastAsia="Calibri" w:cstheme="minorHAnsi"/>
          <w:sz w:val="24"/>
          <w:szCs w:val="24"/>
        </w:rPr>
        <w:t xml:space="preserve"> </w:t>
      </w:r>
      <w:r w:rsidR="00637D95">
        <w:rPr>
          <w:rFonts w:eastAsia="Calibri" w:cstheme="minorHAnsi"/>
          <w:sz w:val="24"/>
          <w:szCs w:val="24"/>
        </w:rPr>
        <w:t>umowa o objęcie przedsięwzięcia wsparciem,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wnioski o płatność, wyniki weryfikacji wniosków o płatność, dokumenty dotyczące wydatków uznanych za niekwalifikowalne,</w:t>
      </w:r>
      <w:r w:rsidR="00637D95" w:rsidRPr="00637D95">
        <w:rPr>
          <w:rFonts w:eastAsia="Calibri" w:cstheme="minorHAnsi"/>
          <w:sz w:val="24"/>
          <w:szCs w:val="24"/>
        </w:rPr>
        <w:t xml:space="preserve"> </w:t>
      </w:r>
      <w:r w:rsidR="00637D95">
        <w:rPr>
          <w:rFonts w:eastAsia="Calibri" w:cstheme="minorHAnsi"/>
          <w:sz w:val="24"/>
          <w:szCs w:val="24"/>
        </w:rPr>
        <w:t>harmonogramy rzeczowo-finansowe, harmonogramy płatności,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dokumenty dotyczące postępowania o udzielenie zamówienia publicznego (przykładowo ogłoszenie o zamówieniu, specyfikacja istotnych warunków zamówienia, protokoły postępowania o udzieleni</w:t>
      </w:r>
      <w:r w:rsidRPr="006B4F77">
        <w:rPr>
          <w:rFonts w:eastAsia="Calibri" w:cstheme="minorHAnsi"/>
          <w:sz w:val="24"/>
          <w:szCs w:val="24"/>
        </w:rPr>
        <w:t>e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zamówienia publicznego wraz z drukami dodatkowymi, ewentualne pytania wykonawców i odpowiedzi zamawiającego, dokumenty związane ze złożonymi przez wykonawców środkami ochrony prawnej, informacje o przedłużenia</w:t>
      </w:r>
      <w:r w:rsidRPr="006B4F77">
        <w:rPr>
          <w:rFonts w:eastAsia="Calibri" w:cstheme="minorHAnsi"/>
          <w:sz w:val="24"/>
          <w:szCs w:val="24"/>
        </w:rPr>
        <w:t>ch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terminu składania ofert) dokumenty dotyczące przeprowadzanych przez odpowiednie instytucje kontroli projektu, dokumenty postępowania administracyjnego zgromadzone przez organ I instancji</w:t>
      </w:r>
      <w:r w:rsidRPr="006B4F77">
        <w:rPr>
          <w:rFonts w:eastAsia="Calibri" w:cstheme="minorHAnsi"/>
          <w:sz w:val="24"/>
          <w:szCs w:val="24"/>
        </w:rPr>
        <w:t xml:space="preserve"> (</w:t>
      </w:r>
      <w:r w:rsidR="007C6BAC" w:rsidRPr="006B4F77">
        <w:rPr>
          <w:rFonts w:eastAsia="Calibri" w:cstheme="minorHAnsi"/>
          <w:sz w:val="24"/>
          <w:szCs w:val="24"/>
          <w:lang w:val="x-none"/>
        </w:rPr>
        <w:t>przeciętnie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akta sprawy liczą </w:t>
      </w:r>
      <w:r w:rsidRPr="006B4F77">
        <w:rPr>
          <w:rFonts w:eastAsia="Calibri" w:cstheme="minorHAnsi"/>
          <w:sz w:val="24"/>
          <w:szCs w:val="24"/>
        </w:rPr>
        <w:t>2</w:t>
      </w:r>
      <w:r w:rsidRPr="006B4F77">
        <w:rPr>
          <w:rFonts w:eastAsia="Calibri" w:cstheme="minorHAnsi"/>
          <w:sz w:val="24"/>
          <w:szCs w:val="24"/>
          <w:lang w:val="x-none"/>
        </w:rPr>
        <w:t>00-</w:t>
      </w:r>
      <w:r w:rsidRPr="006B4F77">
        <w:rPr>
          <w:rFonts w:eastAsia="Calibri" w:cstheme="minorHAnsi"/>
          <w:sz w:val="24"/>
          <w:szCs w:val="24"/>
        </w:rPr>
        <w:t>6</w:t>
      </w:r>
      <w:r w:rsidRPr="006B4F77">
        <w:rPr>
          <w:rFonts w:eastAsia="Calibri" w:cstheme="minorHAnsi"/>
          <w:sz w:val="24"/>
          <w:szCs w:val="24"/>
          <w:lang w:val="x-none"/>
        </w:rPr>
        <w:t>00 stron</w:t>
      </w:r>
      <w:r w:rsidRPr="006B4F77">
        <w:rPr>
          <w:rFonts w:eastAsia="Calibri" w:cstheme="minorHAnsi"/>
          <w:sz w:val="24"/>
          <w:szCs w:val="24"/>
        </w:rPr>
        <w:t>),</w:t>
      </w:r>
    </w:p>
    <w:p w14:paraId="37F6326E" w14:textId="0CB7A7EE" w:rsidR="00217ED8" w:rsidRPr="006B4F77" w:rsidRDefault="00217ED8" w:rsidP="00217ED8">
      <w:pPr>
        <w:numPr>
          <w:ilvl w:val="0"/>
          <w:numId w:val="23"/>
        </w:numPr>
        <w:spacing w:after="120"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  <w:lang w:val="x-none"/>
        </w:rPr>
      </w:pPr>
      <w:r w:rsidRPr="006B4F77">
        <w:rPr>
          <w:rFonts w:eastAsia="Calibri" w:cstheme="minorHAnsi"/>
          <w:sz w:val="24"/>
          <w:szCs w:val="24"/>
          <w:lang w:val="x-none"/>
        </w:rPr>
        <w:t>w przypadku decyzji o </w:t>
      </w:r>
      <w:r w:rsidRPr="006B4F77">
        <w:rPr>
          <w:rFonts w:eastAsia="Calibri" w:cstheme="minorHAnsi"/>
          <w:sz w:val="24"/>
          <w:szCs w:val="24"/>
        </w:rPr>
        <w:t>zapłacie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odsetek, o któr</w:t>
      </w:r>
      <w:r w:rsidRPr="006B4F77">
        <w:rPr>
          <w:rFonts w:eastAsia="Calibri" w:cstheme="minorHAnsi"/>
          <w:sz w:val="24"/>
          <w:szCs w:val="24"/>
        </w:rPr>
        <w:t>ej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mowa w </w:t>
      </w:r>
      <w:r w:rsidRPr="006B4F77">
        <w:rPr>
          <w:rFonts w:eastAsia="Calibri" w:cstheme="minorHAnsi"/>
          <w:sz w:val="24"/>
          <w:szCs w:val="24"/>
        </w:rPr>
        <w:t>ust.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</w:t>
      </w:r>
      <w:r w:rsidRPr="006B4F77">
        <w:rPr>
          <w:rFonts w:eastAsia="Calibri" w:cstheme="minorHAnsi"/>
          <w:sz w:val="24"/>
          <w:szCs w:val="24"/>
        </w:rPr>
        <w:t>1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</w:t>
      </w:r>
      <w:r w:rsidRPr="006B4F77">
        <w:rPr>
          <w:rFonts w:eastAsia="Calibri" w:cstheme="minorHAnsi"/>
          <w:sz w:val="24"/>
          <w:szCs w:val="24"/>
        </w:rPr>
        <w:t>pkt 2, m.in.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: umowa o dofinansowanie projektu, </w:t>
      </w:r>
      <w:r w:rsidR="00637D95">
        <w:rPr>
          <w:rFonts w:eastAsia="Calibri" w:cstheme="minorHAnsi"/>
          <w:sz w:val="24"/>
          <w:szCs w:val="24"/>
        </w:rPr>
        <w:t xml:space="preserve">umowa o objęcie przedsięwzięcia wsparciem, </w:t>
      </w:r>
      <w:r w:rsidRPr="006B4F77">
        <w:rPr>
          <w:rFonts w:eastAsia="Calibri" w:cstheme="minorHAnsi"/>
          <w:sz w:val="24"/>
          <w:szCs w:val="24"/>
          <w:lang w:val="x-none"/>
        </w:rPr>
        <w:t>wnioski o płatność,</w:t>
      </w:r>
      <w:r w:rsidR="00637D95">
        <w:rPr>
          <w:rFonts w:eastAsia="Calibri" w:cstheme="minorHAnsi"/>
          <w:sz w:val="24"/>
          <w:szCs w:val="24"/>
        </w:rPr>
        <w:t xml:space="preserve"> harmonogramy rzeczowo-finansowe, harmonogramy płatności,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wyniki weryfikacji wniosków o płatność, dokumenty dotyczące przeprowadzanych przez odpowiednie instytucje kontroli projektu, dokumenty postępowania </w:t>
      </w:r>
      <w:r w:rsidRPr="006B4F77">
        <w:rPr>
          <w:rFonts w:eastAsia="Calibri" w:cstheme="minorHAnsi"/>
          <w:sz w:val="24"/>
          <w:szCs w:val="24"/>
          <w:lang w:val="x-none"/>
        </w:rPr>
        <w:lastRenderedPageBreak/>
        <w:t>administracyjnego zgromadzone przez organ I instancji</w:t>
      </w:r>
      <w:r w:rsidRPr="006B4F77">
        <w:rPr>
          <w:rFonts w:eastAsia="Calibri" w:cstheme="minorHAnsi"/>
          <w:sz w:val="24"/>
          <w:szCs w:val="24"/>
        </w:rPr>
        <w:t xml:space="preserve"> (</w:t>
      </w:r>
      <w:r w:rsidRPr="006B4F77">
        <w:rPr>
          <w:rFonts w:eastAsia="Calibri" w:cstheme="minorHAnsi"/>
          <w:sz w:val="24"/>
          <w:szCs w:val="24"/>
          <w:lang w:val="x-none"/>
        </w:rPr>
        <w:t>przeciętnie akta sprawy liczą 120-200 stron</w:t>
      </w:r>
      <w:r w:rsidRPr="006B4F77">
        <w:rPr>
          <w:rFonts w:eastAsia="Calibri" w:cstheme="minorHAnsi"/>
          <w:sz w:val="24"/>
          <w:szCs w:val="24"/>
        </w:rPr>
        <w:t>),</w:t>
      </w:r>
    </w:p>
    <w:p w14:paraId="7AF9783B" w14:textId="3ACC5CC0" w:rsidR="00217ED8" w:rsidRPr="006B4F77" w:rsidRDefault="00217ED8" w:rsidP="00217ED8">
      <w:pPr>
        <w:numPr>
          <w:ilvl w:val="0"/>
          <w:numId w:val="23"/>
        </w:numPr>
        <w:spacing w:after="120"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  <w:lang w:val="x-none"/>
        </w:rPr>
      </w:pPr>
      <w:r w:rsidRPr="006B4F77">
        <w:rPr>
          <w:rFonts w:eastAsia="Calibri" w:cstheme="minorHAnsi"/>
          <w:sz w:val="24"/>
          <w:szCs w:val="24"/>
          <w:lang w:val="x-none"/>
        </w:rPr>
        <w:t>w przypadku decyzji w przedmiocie udzielenia ulgi</w:t>
      </w:r>
      <w:r w:rsidRPr="006B4F77">
        <w:rPr>
          <w:rFonts w:eastAsia="Calibri" w:cstheme="minorHAnsi"/>
          <w:sz w:val="24"/>
          <w:szCs w:val="24"/>
        </w:rPr>
        <w:t>,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o której mowa w </w:t>
      </w:r>
      <w:r w:rsidRPr="006B4F77">
        <w:rPr>
          <w:rFonts w:eastAsia="Calibri" w:cstheme="minorHAnsi"/>
          <w:sz w:val="24"/>
          <w:szCs w:val="24"/>
        </w:rPr>
        <w:t>ust.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</w:t>
      </w:r>
      <w:r w:rsidR="00637D95">
        <w:rPr>
          <w:rFonts w:eastAsia="Calibri" w:cstheme="minorHAnsi"/>
          <w:sz w:val="24"/>
          <w:szCs w:val="24"/>
        </w:rPr>
        <w:t>2</w:t>
      </w:r>
      <w:r w:rsidR="00637D95" w:rsidRPr="006B4F77">
        <w:rPr>
          <w:rFonts w:eastAsia="Calibri" w:cstheme="minorHAnsi"/>
          <w:sz w:val="24"/>
          <w:szCs w:val="24"/>
          <w:lang w:val="x-none"/>
        </w:rPr>
        <w:t> </w:t>
      </w:r>
      <w:r w:rsidRPr="006B4F77">
        <w:rPr>
          <w:rFonts w:eastAsia="Calibri" w:cstheme="minorHAnsi"/>
          <w:sz w:val="24"/>
          <w:szCs w:val="24"/>
        </w:rPr>
        <w:t>pkt 3, m.in.</w:t>
      </w:r>
      <w:r w:rsidRPr="006B4F77">
        <w:rPr>
          <w:rFonts w:eastAsia="Calibri" w:cstheme="minorHAnsi"/>
          <w:sz w:val="24"/>
          <w:szCs w:val="24"/>
          <w:lang w:val="x-none"/>
        </w:rPr>
        <w:t>: umowa o dofinansowanie projektu, wnioski o płatność, wyniki weryfikacji wniosków o płatność, dokumenty finansowe pozwalające na ocenę kondycji finansowej beneficjenta (jednostki samorządu terytorialnego, grupy jednostek samorządu terytorialnego – konsorcja, związki, stowarzyszenia i porozumienia, konsorcja jednostek samorządu terytorialnego lub w/w grup jednostek samorządu terytorialnego z organizacjami pozarządowymi, mikro, małe i średnie przedsiębiorstwa, organizacje pozarządowe non-profit), dokumenty postępowania administracyjnego zgromadzone przez organ I instancji</w:t>
      </w:r>
      <w:r w:rsidRPr="006B4F77">
        <w:rPr>
          <w:rFonts w:eastAsia="Calibri" w:cstheme="minorHAnsi"/>
          <w:sz w:val="24"/>
          <w:szCs w:val="24"/>
        </w:rPr>
        <w:t xml:space="preserve"> (</w:t>
      </w:r>
      <w:r w:rsidRPr="006B4F77">
        <w:rPr>
          <w:rFonts w:eastAsia="Calibri" w:cstheme="minorHAnsi"/>
          <w:sz w:val="24"/>
          <w:szCs w:val="24"/>
          <w:lang w:val="x-none"/>
        </w:rPr>
        <w:t>przeciętnie akta sprawy liczą 120-200 stron</w:t>
      </w:r>
      <w:r w:rsidRPr="006B4F77">
        <w:rPr>
          <w:rFonts w:eastAsia="Calibri" w:cstheme="minorHAnsi"/>
          <w:sz w:val="24"/>
          <w:szCs w:val="24"/>
        </w:rPr>
        <w:t>);</w:t>
      </w:r>
    </w:p>
    <w:p w14:paraId="4F865A35" w14:textId="77777777" w:rsidR="00217ED8" w:rsidRPr="006B4F77" w:rsidRDefault="00217ED8" w:rsidP="00217ED8">
      <w:pPr>
        <w:numPr>
          <w:ilvl w:val="0"/>
          <w:numId w:val="28"/>
        </w:numPr>
        <w:spacing w:after="40" w:line="360" w:lineRule="auto"/>
        <w:ind w:hanging="294"/>
        <w:jc w:val="both"/>
        <w:outlineLvl w:val="4"/>
        <w:rPr>
          <w:rFonts w:eastAsia="Calibri" w:cstheme="minorHAnsi"/>
          <w:sz w:val="24"/>
          <w:szCs w:val="24"/>
        </w:rPr>
      </w:pPr>
      <w:r w:rsidRPr="006B4F77">
        <w:rPr>
          <w:rFonts w:eastAsia="Calibri" w:cstheme="minorHAnsi"/>
          <w:sz w:val="24"/>
          <w:szCs w:val="24"/>
        </w:rPr>
        <w:t>dokonania oceny kompletności akt sprawy oraz ewentualnego wskazania dokumentów, o które powinny zostać one uzupełnione;</w:t>
      </w:r>
    </w:p>
    <w:p w14:paraId="703F76F2" w14:textId="77777777" w:rsidR="00217ED8" w:rsidRPr="006B4F77" w:rsidRDefault="00217ED8" w:rsidP="00217ED8">
      <w:pPr>
        <w:numPr>
          <w:ilvl w:val="0"/>
          <w:numId w:val="28"/>
        </w:numPr>
        <w:spacing w:after="40" w:line="360" w:lineRule="auto"/>
        <w:ind w:hanging="294"/>
        <w:jc w:val="both"/>
        <w:outlineLvl w:val="4"/>
        <w:rPr>
          <w:rFonts w:eastAsia="Calibri" w:cstheme="minorHAnsi"/>
          <w:sz w:val="24"/>
          <w:szCs w:val="24"/>
        </w:rPr>
      </w:pPr>
      <w:r w:rsidRPr="006B4F77">
        <w:rPr>
          <w:rFonts w:eastAsia="Calibri" w:cstheme="minorHAnsi"/>
          <w:sz w:val="24"/>
          <w:szCs w:val="24"/>
        </w:rPr>
        <w:t>przygotowania opinii prawnej zawierającej:</w:t>
      </w:r>
    </w:p>
    <w:p w14:paraId="4DC31DFF" w14:textId="77777777" w:rsidR="00217ED8" w:rsidRPr="006B4F77" w:rsidRDefault="00217ED8" w:rsidP="00217ED8">
      <w:pPr>
        <w:numPr>
          <w:ilvl w:val="0"/>
          <w:numId w:val="24"/>
        </w:numPr>
        <w:spacing w:after="120" w:line="360" w:lineRule="auto"/>
        <w:ind w:left="993" w:hanging="285"/>
        <w:contextualSpacing/>
        <w:jc w:val="both"/>
        <w:rPr>
          <w:rFonts w:eastAsia="Calibri" w:cstheme="minorHAnsi"/>
          <w:sz w:val="24"/>
          <w:szCs w:val="24"/>
          <w:lang w:val="x-none"/>
        </w:rPr>
      </w:pPr>
      <w:r w:rsidRPr="006B4F77">
        <w:rPr>
          <w:rFonts w:eastAsia="Calibri" w:cstheme="minorHAnsi"/>
          <w:sz w:val="24"/>
          <w:szCs w:val="24"/>
          <w:lang w:val="x-none"/>
        </w:rPr>
        <w:t xml:space="preserve">propozycję rozstrzygnięcia danej sprawy wraz ze wskazaniem podstawy prawnej </w:t>
      </w:r>
      <w:r w:rsidRPr="006B4F77">
        <w:rPr>
          <w:rFonts w:eastAsia="Calibri" w:cstheme="minorHAnsi"/>
          <w:sz w:val="24"/>
          <w:szCs w:val="24"/>
        </w:rPr>
        <w:t>proponowanego rozstrzygnięcia w terminie oraz formie uzgodnionej z Zamawiającym</w:t>
      </w:r>
      <w:r w:rsidRPr="006B4F77">
        <w:rPr>
          <w:rFonts w:eastAsia="Calibri" w:cstheme="minorHAnsi"/>
          <w:sz w:val="24"/>
          <w:szCs w:val="24"/>
          <w:lang w:val="x-none"/>
        </w:rPr>
        <w:t>, przy czym Zamawiający zastrzega, że może wystąpić również o sformułowanie propozycji rozstrzygnięcia o innej treści niż pierwotnie zaproponowane przez Wykonawcę (kwest</w:t>
      </w:r>
      <w:r w:rsidRPr="006B4F77">
        <w:rPr>
          <w:rFonts w:eastAsia="Calibri" w:cstheme="minorHAnsi"/>
          <w:sz w:val="24"/>
          <w:szCs w:val="24"/>
        </w:rPr>
        <w:t>ia</w:t>
      </w:r>
      <w:r w:rsidRPr="006B4F77">
        <w:rPr>
          <w:rFonts w:eastAsia="Calibri" w:cstheme="minorHAnsi"/>
          <w:sz w:val="24"/>
          <w:szCs w:val="24"/>
          <w:lang w:val="x-none"/>
        </w:rPr>
        <w:t xml:space="preserve"> ta będzie uzgadniana przed przystąpieniem przez Wykonawcę do sformułowania uzasadnienia),</w:t>
      </w:r>
    </w:p>
    <w:p w14:paraId="516291AF" w14:textId="4EEA57FD" w:rsidR="00217ED8" w:rsidRPr="006B4F77" w:rsidRDefault="00217ED8" w:rsidP="00217ED8">
      <w:pPr>
        <w:numPr>
          <w:ilvl w:val="0"/>
          <w:numId w:val="24"/>
        </w:numPr>
        <w:spacing w:after="120" w:line="360" w:lineRule="auto"/>
        <w:ind w:left="993" w:hanging="285"/>
        <w:contextualSpacing/>
        <w:jc w:val="both"/>
        <w:rPr>
          <w:rFonts w:eastAsia="Calibri" w:cstheme="minorHAnsi"/>
          <w:sz w:val="24"/>
          <w:szCs w:val="24"/>
          <w:lang w:val="x-none"/>
        </w:rPr>
      </w:pPr>
      <w:r w:rsidRPr="006B4F77">
        <w:rPr>
          <w:rFonts w:eastAsia="Calibri" w:cstheme="minorHAnsi"/>
          <w:sz w:val="24"/>
          <w:szCs w:val="24"/>
          <w:lang w:val="x-none"/>
        </w:rPr>
        <w:t>uzasadnienie faktyczne i prawne zaproponowanego rozstrzygnięcia (lub rozstrzygnięcia wskazanego przez Zamawiającego) obejmujące swym zakresem opis stanu faktycznego sprawy i wskazanie ustaleń prawnych</w:t>
      </w:r>
      <w:r w:rsidRPr="006B4F77">
        <w:rPr>
          <w:rFonts w:eastAsia="Calibri" w:cstheme="minorHAnsi"/>
          <w:sz w:val="24"/>
          <w:szCs w:val="24"/>
        </w:rPr>
        <w:t xml:space="preserve"> oraz finansowych</w:t>
      </w:r>
      <w:r w:rsidRPr="006B4F77">
        <w:rPr>
          <w:rFonts w:eastAsia="Calibri" w:cstheme="minorHAnsi"/>
          <w:sz w:val="24"/>
          <w:szCs w:val="24"/>
          <w:lang w:val="x-none"/>
        </w:rPr>
        <w:t>, które powinny zostać poczynione przez organ w kontekście okoliczności sprawy</w:t>
      </w:r>
      <w:r w:rsidRPr="006B4F77">
        <w:rPr>
          <w:rFonts w:eastAsia="Calibri" w:cstheme="minorHAnsi"/>
          <w:sz w:val="24"/>
          <w:szCs w:val="24"/>
        </w:rPr>
        <w:t xml:space="preserve">, wraz z przytoczeniem </w:t>
      </w:r>
      <w:r w:rsidR="00440C65">
        <w:rPr>
          <w:rFonts w:eastAsia="Calibri" w:cstheme="minorHAnsi"/>
          <w:sz w:val="24"/>
          <w:szCs w:val="24"/>
        </w:rPr>
        <w:t xml:space="preserve">aktualnych </w:t>
      </w:r>
      <w:r w:rsidR="00440C65" w:rsidRPr="006B4F77">
        <w:rPr>
          <w:rFonts w:eastAsia="Calibri" w:cstheme="minorHAnsi"/>
          <w:sz w:val="24"/>
          <w:szCs w:val="24"/>
        </w:rPr>
        <w:t>poglądów orzecznictwa i doktryny</w:t>
      </w:r>
      <w:r w:rsidRPr="006B4F77">
        <w:rPr>
          <w:rFonts w:eastAsia="Calibri" w:cstheme="minorHAnsi"/>
          <w:sz w:val="24"/>
          <w:szCs w:val="24"/>
        </w:rPr>
        <w:t xml:space="preserve"> w zakresie dotyczącym danej sprawy,</w:t>
      </w:r>
    </w:p>
    <w:p w14:paraId="4D7BBC71" w14:textId="77777777" w:rsidR="00217ED8" w:rsidRPr="006B4F77" w:rsidRDefault="00217ED8" w:rsidP="00217ED8">
      <w:pPr>
        <w:numPr>
          <w:ilvl w:val="0"/>
          <w:numId w:val="24"/>
        </w:numPr>
        <w:spacing w:after="120" w:line="360" w:lineRule="auto"/>
        <w:ind w:left="993" w:hanging="285"/>
        <w:contextualSpacing/>
        <w:jc w:val="both"/>
        <w:rPr>
          <w:rFonts w:eastAsia="Calibri" w:cstheme="minorHAnsi"/>
          <w:sz w:val="24"/>
          <w:szCs w:val="24"/>
          <w:lang w:val="x-none"/>
        </w:rPr>
      </w:pPr>
      <w:r w:rsidRPr="006B4F77">
        <w:rPr>
          <w:rFonts w:eastAsia="Calibri" w:cstheme="minorHAnsi"/>
          <w:sz w:val="24"/>
          <w:szCs w:val="24"/>
        </w:rPr>
        <w:t>projekt decyzji administracyjnej spełniającej wszelkie wymagania zawarte w przepisach znajdujących zastosowanie w konkretnej sprawie, wraz z przytoczeniem aktualnych poglądów orzecznictwa i doktryny w zakresie dotyczącym danej sprawy (w tym uzasadnienie faktyczne, prawne i finansowe),</w:t>
      </w:r>
    </w:p>
    <w:p w14:paraId="1EF91B09" w14:textId="77777777" w:rsidR="00217ED8" w:rsidRPr="006B4F77" w:rsidRDefault="00217ED8" w:rsidP="00217ED8">
      <w:pPr>
        <w:numPr>
          <w:ilvl w:val="0"/>
          <w:numId w:val="24"/>
        </w:numPr>
        <w:spacing w:after="120" w:line="360" w:lineRule="auto"/>
        <w:ind w:left="993" w:hanging="285"/>
        <w:contextualSpacing/>
        <w:jc w:val="both"/>
        <w:rPr>
          <w:rFonts w:eastAsia="Calibri" w:cstheme="minorHAnsi"/>
          <w:sz w:val="24"/>
          <w:szCs w:val="24"/>
          <w:lang w:val="x-none"/>
        </w:rPr>
      </w:pPr>
      <w:r w:rsidRPr="006B4F77">
        <w:rPr>
          <w:rFonts w:eastAsia="Calibri" w:cstheme="minorHAnsi"/>
          <w:sz w:val="24"/>
          <w:szCs w:val="24"/>
        </w:rPr>
        <w:lastRenderedPageBreak/>
        <w:t xml:space="preserve">projekt wezwania do zwrotu środków, wezwania do zapłaty odsetek lub wezwania do uzupełnienia dokumentacji zawartej we wniosku o udzielenie ulgi, jeśli jego sporządzenie jest niezbędne do wydania decyzji administracyjnej w danej sprawie, postanowień oraz innych dokumentów niezbędnych dla prawidłowego przeprowadzenia postepowania. </w:t>
      </w:r>
    </w:p>
    <w:p w14:paraId="558EF5E5" w14:textId="77777777" w:rsidR="00217ED8" w:rsidRPr="006B4F77" w:rsidRDefault="00217ED8" w:rsidP="00217ED8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cstheme="minorHAnsi"/>
          <w:b/>
          <w:sz w:val="24"/>
          <w:szCs w:val="24"/>
        </w:rPr>
      </w:pPr>
      <w:r w:rsidRPr="006B4F77">
        <w:rPr>
          <w:rFonts w:cstheme="minorHAnsi"/>
          <w:b/>
          <w:sz w:val="24"/>
          <w:szCs w:val="24"/>
        </w:rPr>
        <w:t xml:space="preserve">Uwagi, wymogi i informacje </w:t>
      </w:r>
    </w:p>
    <w:p w14:paraId="6CDB727F" w14:textId="7A4ED509" w:rsidR="001F5F5B" w:rsidRPr="001F5F5B" w:rsidRDefault="001F5F5B" w:rsidP="001F5F5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1F5F5B">
        <w:rPr>
          <w:rFonts w:eastAsia="Calibri" w:cstheme="minorHAnsi"/>
          <w:sz w:val="24"/>
          <w:szCs w:val="24"/>
        </w:rPr>
        <w:t>Zamawiający zastrzega, że zamówienia będzie zlecał zgodnie z potrzebami, co oznacza,</w:t>
      </w:r>
      <w:r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że Wykonawcom przysługują jedynie roszczenia o uzyskanie zleceń do wysokości</w:t>
      </w:r>
      <w:r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wynagrodzenia wskazanego powyżej, na co Wykonawca wyraża zgodę.</w:t>
      </w:r>
    </w:p>
    <w:p w14:paraId="3E16181C" w14:textId="7480EBF0" w:rsidR="001F5F5B" w:rsidRPr="006B4F77" w:rsidRDefault="001F5F5B" w:rsidP="001F5F5B">
      <w:pPr>
        <w:spacing w:before="120" w:after="240" w:line="360" w:lineRule="auto"/>
        <w:jc w:val="both"/>
        <w:rPr>
          <w:rFonts w:eastAsia="Calibri" w:cstheme="minorHAnsi"/>
          <w:sz w:val="24"/>
          <w:szCs w:val="24"/>
        </w:rPr>
      </w:pPr>
      <w:r w:rsidRPr="001F5F5B">
        <w:rPr>
          <w:rFonts w:eastAsia="Calibri" w:cstheme="minorHAnsi"/>
          <w:sz w:val="24"/>
          <w:szCs w:val="24"/>
        </w:rPr>
        <w:t>Rozliczenie będzie odbywało się w oparciu o ceny jednostkowe wskazane w złożonej ofercie.</w:t>
      </w:r>
    </w:p>
    <w:p w14:paraId="3D052A7D" w14:textId="77777777" w:rsidR="00217ED8" w:rsidRPr="006B4F77" w:rsidRDefault="00217ED8" w:rsidP="00217ED8">
      <w:pPr>
        <w:spacing w:after="60" w:line="360" w:lineRule="auto"/>
        <w:jc w:val="both"/>
        <w:rPr>
          <w:rFonts w:eastAsia="Calibri" w:cstheme="minorHAnsi"/>
          <w:color w:val="FF0000"/>
          <w:sz w:val="24"/>
          <w:szCs w:val="24"/>
          <w:u w:val="single"/>
        </w:rPr>
      </w:pPr>
      <w:r w:rsidRPr="006B4F77">
        <w:rPr>
          <w:rFonts w:eastAsia="Calibri" w:cstheme="minorHAnsi"/>
          <w:sz w:val="24"/>
          <w:szCs w:val="24"/>
          <w:u w:val="single"/>
        </w:rPr>
        <w:t>Doradztwo prawne</w:t>
      </w:r>
    </w:p>
    <w:p w14:paraId="0A3BBF0D" w14:textId="50CFBE50" w:rsidR="00217ED8" w:rsidRPr="006B4F77" w:rsidRDefault="00217ED8" w:rsidP="00217ED8">
      <w:pPr>
        <w:spacing w:after="60" w:line="360" w:lineRule="auto"/>
        <w:jc w:val="both"/>
        <w:rPr>
          <w:rFonts w:eastAsia="Calibri" w:cstheme="minorHAnsi"/>
          <w:sz w:val="24"/>
          <w:szCs w:val="24"/>
        </w:rPr>
      </w:pPr>
      <w:r w:rsidRPr="006B4F77">
        <w:rPr>
          <w:rFonts w:eastAsia="Calibri" w:cstheme="minorHAnsi"/>
          <w:sz w:val="24"/>
          <w:szCs w:val="24"/>
        </w:rPr>
        <w:t xml:space="preserve">Usługi doradztwa prawnego </w:t>
      </w:r>
      <w:r w:rsidR="00700971">
        <w:rPr>
          <w:rFonts w:eastAsia="Calibri" w:cstheme="minorHAnsi"/>
          <w:sz w:val="24"/>
          <w:szCs w:val="24"/>
        </w:rPr>
        <w:t xml:space="preserve">świadczone będą </w:t>
      </w:r>
      <w:r w:rsidRPr="006B4F77">
        <w:rPr>
          <w:rFonts w:eastAsia="Calibri" w:cstheme="minorHAnsi"/>
          <w:sz w:val="24"/>
          <w:szCs w:val="24"/>
        </w:rPr>
        <w:t xml:space="preserve">w siedzibie Zamawiającego, chyba, że Zamawiający w ramach kontaktów roboczych z Wykonawcą ustali, że </w:t>
      </w:r>
      <w:r w:rsidR="00DA0127">
        <w:rPr>
          <w:rFonts w:eastAsia="Calibri" w:cstheme="minorHAnsi"/>
          <w:sz w:val="24"/>
          <w:szCs w:val="24"/>
        </w:rPr>
        <w:t xml:space="preserve">konsultacje </w:t>
      </w:r>
      <w:r w:rsidRPr="006B4F77">
        <w:rPr>
          <w:rFonts w:eastAsia="Calibri" w:cstheme="minorHAnsi"/>
          <w:sz w:val="24"/>
          <w:szCs w:val="24"/>
        </w:rPr>
        <w:t>będą prowadzone w miejscu wskazanym przez Zamawiającego lub telefonicznie lub</w:t>
      </w:r>
      <w:r w:rsidR="007176F8">
        <w:rPr>
          <w:rFonts w:eastAsia="Calibri" w:cstheme="minorHAnsi"/>
          <w:sz w:val="24"/>
          <w:szCs w:val="24"/>
        </w:rPr>
        <w:t xml:space="preserve"> </w:t>
      </w:r>
      <w:r w:rsidRPr="006B4F77">
        <w:rPr>
          <w:rFonts w:eastAsia="Calibri" w:cstheme="minorHAnsi"/>
          <w:sz w:val="24"/>
          <w:szCs w:val="24"/>
        </w:rPr>
        <w:t>z wykorzystaniem poczty elektronicznej lub za pomocą aplikacji MS Teams lub innej wskazanej przez Zamawiającego. Usługi doradztwa prawnego świadczone będą w dniach i godzinach pracy Zamawiającego, tj. w dni powszednie w godzinach 8</w:t>
      </w:r>
      <w:r w:rsidRPr="006B4F77">
        <w:rPr>
          <w:rFonts w:eastAsia="Calibri" w:cstheme="minorHAnsi"/>
          <w:sz w:val="24"/>
          <w:szCs w:val="24"/>
          <w:vertAlign w:val="superscript"/>
        </w:rPr>
        <w:t>15</w:t>
      </w:r>
      <w:r w:rsidRPr="006B4F77">
        <w:rPr>
          <w:rFonts w:eastAsia="Calibri" w:cstheme="minorHAnsi"/>
          <w:sz w:val="24"/>
          <w:szCs w:val="24"/>
        </w:rPr>
        <w:t>-16</w:t>
      </w:r>
      <w:r w:rsidRPr="006B4F77">
        <w:rPr>
          <w:rFonts w:eastAsia="Calibri" w:cstheme="minorHAnsi"/>
          <w:sz w:val="24"/>
          <w:szCs w:val="24"/>
          <w:vertAlign w:val="superscript"/>
        </w:rPr>
        <w:t>15</w:t>
      </w:r>
      <w:r w:rsidRPr="006B4F77">
        <w:rPr>
          <w:rFonts w:eastAsia="Calibri" w:cstheme="minorHAnsi"/>
          <w:sz w:val="24"/>
          <w:szCs w:val="24"/>
        </w:rPr>
        <w:t>, z wyłączeniem dni ustawowo wolnych od pracy. Doradztwo prawne będzie polegało na udzielaniu odpowiedzi na pytania zgłaszane przez Zamawiającego i będzie prowadzone w terminie wskazanym w formularzu zlecenia wykonawczego wystawionym przez Zamawiającego.</w:t>
      </w:r>
    </w:p>
    <w:p w14:paraId="311D0DB2" w14:textId="216FD52F" w:rsidR="00217ED8" w:rsidRPr="006B4F77" w:rsidRDefault="00217ED8" w:rsidP="00217ED8">
      <w:pPr>
        <w:spacing w:after="60" w:line="360" w:lineRule="auto"/>
        <w:jc w:val="both"/>
        <w:rPr>
          <w:rFonts w:eastAsia="Calibri" w:cstheme="minorHAnsi"/>
          <w:sz w:val="24"/>
          <w:szCs w:val="24"/>
        </w:rPr>
      </w:pPr>
      <w:r w:rsidRPr="006B4F77">
        <w:rPr>
          <w:rFonts w:eastAsia="Calibri" w:cstheme="minorHAnsi"/>
          <w:sz w:val="24"/>
          <w:szCs w:val="24"/>
        </w:rPr>
        <w:t>Ponadto w ramach doradztwa prawnego Zamawiający przewiduje możliwość zlecania przygotowania opinii i stanowisk prawnych w formie elektronicznej  opatrzonej kwalifikowanym podpisem elektronicznym osoby sporządzającej</w:t>
      </w:r>
      <w:r w:rsidR="00CA107F">
        <w:rPr>
          <w:rFonts w:eastAsia="Calibri" w:cstheme="minorHAnsi"/>
          <w:sz w:val="24"/>
          <w:szCs w:val="24"/>
        </w:rPr>
        <w:t xml:space="preserve">. </w:t>
      </w:r>
      <w:r w:rsidR="00CA107F" w:rsidRPr="00CA107F">
        <w:rPr>
          <w:rFonts w:eastAsia="Calibri" w:cstheme="minorHAnsi"/>
          <w:sz w:val="24"/>
          <w:szCs w:val="24"/>
        </w:rPr>
        <w:t xml:space="preserve">Przygotowywane opinie i stanowiska prawne </w:t>
      </w:r>
      <w:r w:rsidR="00440C65" w:rsidRPr="006B4F77">
        <w:rPr>
          <w:rFonts w:eastAsia="Calibri" w:cstheme="minorHAnsi"/>
          <w:sz w:val="24"/>
          <w:szCs w:val="24"/>
        </w:rPr>
        <w:t>będą obejmowa</w:t>
      </w:r>
      <w:r w:rsidR="00440C65">
        <w:rPr>
          <w:rFonts w:eastAsia="Calibri" w:cstheme="minorHAnsi"/>
          <w:sz w:val="24"/>
          <w:szCs w:val="24"/>
        </w:rPr>
        <w:t xml:space="preserve">ć </w:t>
      </w:r>
      <w:r w:rsidR="00CA107F" w:rsidRPr="00CA107F">
        <w:rPr>
          <w:rFonts w:eastAsia="Calibri" w:cstheme="minorHAnsi"/>
          <w:sz w:val="24"/>
          <w:szCs w:val="24"/>
        </w:rPr>
        <w:t>w szczególności</w:t>
      </w:r>
      <w:r w:rsidRPr="006B4F77">
        <w:rPr>
          <w:rFonts w:eastAsia="Calibri" w:cstheme="minorHAnsi"/>
          <w:sz w:val="24"/>
          <w:szCs w:val="24"/>
        </w:rPr>
        <w:t xml:space="preserve"> szczegółowe rozważenie przedstawionego przez Zamawiającego zagadnienia, w tym okoliczności faktycznych sprawy, przedstawienie właściwych regulacji prawnych oraz poglądów doktryny i orzecznictwa, zarówno krajowego jak i europejskiego, analizę zagadnienia w kontekście właściwych regulacji, w tym wskazanie istniejących ryzyk, wnioski logicznie powiązane z analizą, przedstawienie możliwych wariantów, a także udzielenie jednoznacznej odpowiedzi na postawione pytania lub rekomendacji odnośnie przyjęcia jednego z opisanych scenariuszy. </w:t>
      </w:r>
    </w:p>
    <w:p w14:paraId="09F93E5C" w14:textId="77777777" w:rsidR="00217ED8" w:rsidRPr="001A35BA" w:rsidRDefault="00217ED8" w:rsidP="001F5F5B">
      <w:pPr>
        <w:spacing w:after="0" w:line="360" w:lineRule="auto"/>
        <w:jc w:val="both"/>
        <w:rPr>
          <w:rFonts w:eastAsia="Calibri" w:cstheme="minorHAnsi"/>
          <w:sz w:val="16"/>
          <w:szCs w:val="16"/>
        </w:rPr>
      </w:pPr>
    </w:p>
    <w:p w14:paraId="39DA0DC3" w14:textId="77777777" w:rsidR="00217ED8" w:rsidRPr="006B4F77" w:rsidRDefault="00217ED8" w:rsidP="00217ED8">
      <w:pPr>
        <w:spacing w:after="60" w:line="360" w:lineRule="auto"/>
        <w:jc w:val="both"/>
        <w:rPr>
          <w:rFonts w:eastAsia="Calibri" w:cstheme="minorHAnsi"/>
          <w:sz w:val="24"/>
          <w:szCs w:val="24"/>
        </w:rPr>
      </w:pPr>
      <w:r w:rsidRPr="006B4F77">
        <w:rPr>
          <w:rFonts w:eastAsia="Calibri" w:cstheme="minorHAnsi"/>
          <w:sz w:val="24"/>
          <w:szCs w:val="24"/>
          <w:u w:val="single"/>
        </w:rPr>
        <w:t xml:space="preserve">Reprezentacja Zamawiającego przed sądami, organami administracji publicznej, </w:t>
      </w:r>
    </w:p>
    <w:p w14:paraId="53A09B9B" w14:textId="3DFA2A4A" w:rsidR="00217ED8" w:rsidRPr="006B4F77" w:rsidRDefault="00217ED8" w:rsidP="0032363D">
      <w:pPr>
        <w:spacing w:after="120" w:line="360" w:lineRule="auto"/>
        <w:jc w:val="both"/>
        <w:rPr>
          <w:rFonts w:eastAsia="Calibri" w:cstheme="minorHAnsi"/>
          <w:sz w:val="24"/>
          <w:szCs w:val="24"/>
        </w:rPr>
      </w:pPr>
      <w:r w:rsidRPr="006B4F77">
        <w:rPr>
          <w:rFonts w:eastAsia="Calibri" w:cstheme="minorHAnsi"/>
          <w:sz w:val="24"/>
          <w:szCs w:val="24"/>
        </w:rPr>
        <w:t>Usługi polegające na reprezentacji Z</w:t>
      </w:r>
      <w:r w:rsidR="00B5204D">
        <w:rPr>
          <w:rFonts w:eastAsia="Calibri" w:cstheme="minorHAnsi"/>
          <w:sz w:val="24"/>
          <w:szCs w:val="24"/>
        </w:rPr>
        <w:t>a</w:t>
      </w:r>
      <w:r w:rsidRPr="006B4F77">
        <w:rPr>
          <w:rFonts w:eastAsia="Calibri" w:cstheme="minorHAnsi"/>
          <w:sz w:val="24"/>
          <w:szCs w:val="24"/>
        </w:rPr>
        <w:t>mawiającego przed właściwym sądem nie obejmują sporów sądowych, gdzie po stronie Skarbu Państwa występuje obowiązkowe zastępstwo Prokuratorii Generalnej Rzeczypospolitej Polskiej.</w:t>
      </w:r>
    </w:p>
    <w:p w14:paraId="537E67A4" w14:textId="77777777" w:rsidR="00217ED8" w:rsidRPr="006B4F77" w:rsidRDefault="00217ED8" w:rsidP="001A35BA">
      <w:pPr>
        <w:pStyle w:val="Akapitzlist"/>
        <w:keepNext/>
        <w:keepLines/>
        <w:numPr>
          <w:ilvl w:val="0"/>
          <w:numId w:val="31"/>
        </w:numPr>
        <w:spacing w:before="240" w:after="120" w:line="360" w:lineRule="auto"/>
        <w:outlineLvl w:val="0"/>
        <w:rPr>
          <w:rFonts w:cstheme="minorHAnsi"/>
          <w:b/>
          <w:bCs/>
          <w:sz w:val="24"/>
          <w:szCs w:val="24"/>
          <w:lang w:eastAsia="pl-PL"/>
        </w:rPr>
      </w:pPr>
      <w:r w:rsidRPr="006B4F77">
        <w:rPr>
          <w:rFonts w:cstheme="minorHAnsi"/>
          <w:b/>
          <w:bCs/>
          <w:sz w:val="24"/>
          <w:szCs w:val="24"/>
          <w:lang w:eastAsia="pl-PL"/>
        </w:rPr>
        <w:t xml:space="preserve">Sposób zlecenia poszczególnych usług </w:t>
      </w:r>
    </w:p>
    <w:p w14:paraId="47990808" w14:textId="58A69052" w:rsidR="001F5F5B" w:rsidRPr="001F5F5B" w:rsidRDefault="001F5F5B" w:rsidP="001F5F5B">
      <w:pPr>
        <w:spacing w:after="60" w:line="360" w:lineRule="auto"/>
        <w:rPr>
          <w:rFonts w:eastAsia="Calibri" w:cstheme="minorHAnsi"/>
          <w:sz w:val="24"/>
          <w:szCs w:val="24"/>
        </w:rPr>
      </w:pPr>
      <w:r w:rsidRPr="001F5F5B">
        <w:rPr>
          <w:rFonts w:eastAsia="Calibri" w:cstheme="minorHAnsi"/>
          <w:sz w:val="24"/>
          <w:szCs w:val="24"/>
        </w:rPr>
        <w:t>Usługi będą każdorazowo zlecane przez Zamawiającego przy użyciu poczty elektronicznej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 xml:space="preserve">lub chmury z wykorzystaniem formularza zlecenia, który stanowi załącznik </w:t>
      </w:r>
      <w:r w:rsidR="001A35BA">
        <w:rPr>
          <w:rFonts w:eastAsia="Calibri" w:cstheme="minorHAnsi"/>
          <w:sz w:val="24"/>
          <w:szCs w:val="24"/>
        </w:rPr>
        <w:t xml:space="preserve">nr 4 </w:t>
      </w:r>
      <w:r w:rsidRPr="001F5F5B">
        <w:rPr>
          <w:rFonts w:eastAsia="Calibri" w:cstheme="minorHAnsi"/>
          <w:sz w:val="24"/>
          <w:szCs w:val="24"/>
        </w:rPr>
        <w:t>do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Projektowanych postanowie</w:t>
      </w:r>
      <w:r w:rsidR="001A35BA">
        <w:rPr>
          <w:rFonts w:eastAsia="Calibri" w:cstheme="minorHAnsi"/>
          <w:sz w:val="24"/>
          <w:szCs w:val="24"/>
        </w:rPr>
        <w:t>ń</w:t>
      </w:r>
      <w:r w:rsidRPr="001F5F5B">
        <w:rPr>
          <w:rFonts w:eastAsia="Calibri" w:cstheme="minorHAnsi"/>
          <w:sz w:val="24"/>
          <w:szCs w:val="24"/>
        </w:rPr>
        <w:t xml:space="preserve"> umowy. Zlecenie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 xml:space="preserve">będzie </w:t>
      </w:r>
      <w:r w:rsidR="006C7480">
        <w:rPr>
          <w:rFonts w:eastAsia="Calibri" w:cstheme="minorHAnsi"/>
          <w:sz w:val="24"/>
          <w:szCs w:val="24"/>
        </w:rPr>
        <w:t xml:space="preserve">każdorazowo </w:t>
      </w:r>
      <w:r w:rsidRPr="001F5F5B">
        <w:rPr>
          <w:rFonts w:eastAsia="Calibri" w:cstheme="minorHAnsi"/>
          <w:sz w:val="24"/>
          <w:szCs w:val="24"/>
        </w:rPr>
        <w:t>obejmowało</w:t>
      </w:r>
      <w:r w:rsidR="006C7480">
        <w:rPr>
          <w:rFonts w:eastAsia="Calibri" w:cstheme="minorHAnsi"/>
          <w:sz w:val="24"/>
          <w:szCs w:val="24"/>
        </w:rPr>
        <w:t>:</w:t>
      </w:r>
      <w:r w:rsidRPr="001F5F5B">
        <w:rPr>
          <w:rFonts w:eastAsia="Calibri" w:cstheme="minorHAnsi"/>
          <w:sz w:val="24"/>
          <w:szCs w:val="24"/>
        </w:rPr>
        <w:t xml:space="preserve"> dokładny zakres usługi, termin realizacji zlecenia, zasady współpracy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(jeśli dotyczy) i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ewentualnego udostępnienia przez Zamawiającego Wykonawcy dokumentów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niezbędnych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do realizacji zlecenia, ewentualne osoby dedykowane do realizacji zlecenia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(spośród osób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 xml:space="preserve">wskazanych przez Wykonawcę w </w:t>
      </w:r>
      <w:r w:rsidR="00BE6560">
        <w:rPr>
          <w:rFonts w:eastAsia="Calibri" w:cstheme="minorHAnsi"/>
          <w:sz w:val="24"/>
          <w:szCs w:val="24"/>
        </w:rPr>
        <w:t>Wy</w:t>
      </w:r>
      <w:r w:rsidR="00FA06FD">
        <w:rPr>
          <w:rFonts w:eastAsia="Calibri" w:cstheme="minorHAnsi"/>
          <w:sz w:val="24"/>
          <w:szCs w:val="24"/>
        </w:rPr>
        <w:t>kazie osób</w:t>
      </w:r>
      <w:r w:rsidRPr="001F5F5B">
        <w:rPr>
          <w:rFonts w:eastAsia="Calibri" w:cstheme="minorHAnsi"/>
          <w:sz w:val="24"/>
          <w:szCs w:val="24"/>
        </w:rPr>
        <w:t>, miejsce wykonania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zlecenia,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wskazanie osoby do kontaktów ze strony Zamawiającego oraz inne ustalenia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związane z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realizacją zlecenia (jeśli dotyczy). W przypadku gdy termin wykonania zlecenia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przypada w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sobotę lub dzień wolny od pracy – za termin wykonania przyjmuje się kolejny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dzień roboczy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przypadający po tym dniu.</w:t>
      </w:r>
    </w:p>
    <w:p w14:paraId="42E3AEB9" w14:textId="34D4CE13" w:rsidR="001F5F5B" w:rsidRPr="001F5F5B" w:rsidRDefault="001F5F5B" w:rsidP="001F5F5B">
      <w:pPr>
        <w:spacing w:after="60" w:line="360" w:lineRule="auto"/>
        <w:rPr>
          <w:rFonts w:eastAsia="Calibri" w:cstheme="minorHAnsi"/>
          <w:sz w:val="24"/>
          <w:szCs w:val="24"/>
        </w:rPr>
      </w:pPr>
      <w:r w:rsidRPr="001F5F5B">
        <w:rPr>
          <w:rFonts w:eastAsia="Calibri" w:cstheme="minorHAnsi"/>
          <w:sz w:val="24"/>
          <w:szCs w:val="24"/>
        </w:rPr>
        <w:t xml:space="preserve">W przypadku zlecenia na </w:t>
      </w:r>
      <w:r w:rsidR="001A35BA">
        <w:rPr>
          <w:rFonts w:eastAsia="Calibri" w:cstheme="minorHAnsi"/>
          <w:sz w:val="24"/>
          <w:szCs w:val="24"/>
        </w:rPr>
        <w:t>usługę</w:t>
      </w:r>
      <w:r w:rsidRPr="001F5F5B">
        <w:rPr>
          <w:rFonts w:eastAsia="Calibri" w:cstheme="minorHAnsi"/>
          <w:sz w:val="24"/>
          <w:szCs w:val="24"/>
        </w:rPr>
        <w:t xml:space="preserve"> doradztwa prawnego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Wykonawca, po otrzymaniu formularza zlecenia, wypełnia pozycje dotyczące m.in.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ekspertów proponowanych do realizacji zlecenia oraz przewidywanej liczby roboczogodzin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w ramach zlecenia i przekazuje formularz do akceptacji Zamawiającego. Warunki wykonania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zlecenia na usługi doradztwa prawnego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zostaną</w:t>
      </w:r>
      <w:r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uzgodnione pomiędzy Zamawiającym a Wykonawcą w terminie do 2 dni roboczych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od dnia</w:t>
      </w:r>
      <w:r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przekazania formularza zlecenia przez Zamawiającego. W przypadku przekroczenia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tego</w:t>
      </w:r>
      <w:r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terminu Zamawiający wyznaczy dodatkowy termin ustalenia warunków wykonania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zlecenia</w:t>
      </w:r>
      <w:r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nie dłuższy jednak niż 2 dni robocze. W trakcie realizacji zlecenia Zamawiający i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Wykonawca</w:t>
      </w:r>
      <w:r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mogą ustalić inny termin jego wykonania niż wskazany w formularzu zlecenia.</w:t>
      </w:r>
    </w:p>
    <w:p w14:paraId="5D86E5E7" w14:textId="6CA623CC" w:rsidR="00217ED8" w:rsidRDefault="001F5F5B" w:rsidP="001F5F5B">
      <w:pPr>
        <w:spacing w:after="60" w:line="360" w:lineRule="auto"/>
        <w:rPr>
          <w:rFonts w:eastAsia="Calibri" w:cstheme="minorHAnsi"/>
          <w:sz w:val="24"/>
          <w:szCs w:val="24"/>
        </w:rPr>
      </w:pPr>
      <w:r w:rsidRPr="001F5F5B">
        <w:rPr>
          <w:rFonts w:eastAsia="Calibri" w:cstheme="minorHAnsi"/>
          <w:sz w:val="24"/>
          <w:szCs w:val="24"/>
        </w:rPr>
        <w:t>Wszystkie zlecenia muszą być realizowane przez osoby dedykowane do wykonania usługi,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 xml:space="preserve">wskazane przez Wykonawcę w </w:t>
      </w:r>
      <w:r w:rsidR="00BE6560">
        <w:rPr>
          <w:rFonts w:eastAsia="Calibri" w:cstheme="minorHAnsi"/>
          <w:sz w:val="24"/>
          <w:szCs w:val="24"/>
        </w:rPr>
        <w:t>Wykazie osób.</w:t>
      </w:r>
      <w:r w:rsidRPr="001F5F5B">
        <w:rPr>
          <w:rFonts w:eastAsia="Calibri" w:cstheme="minorHAnsi"/>
          <w:sz w:val="24"/>
          <w:szCs w:val="24"/>
        </w:rPr>
        <w:t xml:space="preserve"> W przypadku zmiany osób dedykowanych do wykonania usługi, na zasadach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opisanych w Projektowanych postanowieniach umowy,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t>Wykonawca powinien wykazać, że zmiana ta nastąpiła z okoliczności niezależnych od</w:t>
      </w:r>
      <w:r w:rsidR="001A35BA">
        <w:rPr>
          <w:rFonts w:eastAsia="Calibri" w:cstheme="minorHAnsi"/>
          <w:sz w:val="24"/>
          <w:szCs w:val="24"/>
        </w:rPr>
        <w:t xml:space="preserve"> </w:t>
      </w:r>
      <w:r w:rsidRPr="001F5F5B">
        <w:rPr>
          <w:rFonts w:eastAsia="Calibri" w:cstheme="minorHAnsi"/>
          <w:sz w:val="24"/>
          <w:szCs w:val="24"/>
        </w:rPr>
        <w:lastRenderedPageBreak/>
        <w:t xml:space="preserve">Wykonawcy. Zamawiający zastrzega sobie prawo do żądania od Wykonawcy </w:t>
      </w:r>
      <w:r w:rsidR="001A35BA">
        <w:rPr>
          <w:rFonts w:eastAsia="Calibri" w:cstheme="minorHAnsi"/>
          <w:sz w:val="24"/>
          <w:szCs w:val="24"/>
        </w:rPr>
        <w:t>dokumentów p</w:t>
      </w:r>
      <w:r w:rsidRPr="001F5F5B">
        <w:rPr>
          <w:rFonts w:eastAsia="Calibri" w:cstheme="minorHAnsi"/>
          <w:sz w:val="24"/>
          <w:szCs w:val="24"/>
        </w:rPr>
        <w:t>otwierdzających konieczność dokonania takiej zmiany</w:t>
      </w:r>
      <w:r w:rsidR="00217ED8" w:rsidRPr="006B4F77">
        <w:rPr>
          <w:rFonts w:eastAsia="Calibri" w:cstheme="minorHAnsi"/>
          <w:sz w:val="24"/>
          <w:szCs w:val="24"/>
        </w:rPr>
        <w:t>.</w:t>
      </w:r>
    </w:p>
    <w:p w14:paraId="417BC70D" w14:textId="312D41E8" w:rsidR="00406640" w:rsidRPr="00406640" w:rsidRDefault="00406640" w:rsidP="00406640">
      <w:pPr>
        <w:spacing w:after="60" w:line="360" w:lineRule="auto"/>
        <w:rPr>
          <w:rFonts w:eastAsia="Calibri" w:cstheme="minorHAnsi"/>
          <w:sz w:val="24"/>
          <w:szCs w:val="24"/>
        </w:rPr>
      </w:pPr>
      <w:r w:rsidRPr="00406640">
        <w:rPr>
          <w:rFonts w:eastAsia="Calibri" w:cstheme="minorHAnsi"/>
          <w:sz w:val="24"/>
          <w:szCs w:val="24"/>
        </w:rPr>
        <w:t>Wszelkie dokumenty, powstające w wyniku realizacji zleceń, Wykonawca zobowiązany</w:t>
      </w:r>
      <w:r w:rsidR="00534FED">
        <w:rPr>
          <w:rFonts w:eastAsia="Calibri" w:cstheme="minorHAnsi"/>
          <w:sz w:val="24"/>
          <w:szCs w:val="24"/>
        </w:rPr>
        <w:t xml:space="preserve"> </w:t>
      </w:r>
      <w:r w:rsidRPr="00406640">
        <w:rPr>
          <w:rFonts w:eastAsia="Calibri" w:cstheme="minorHAnsi"/>
          <w:sz w:val="24"/>
          <w:szCs w:val="24"/>
        </w:rPr>
        <w:t>jest przesłać do Zamawiającego w formatach pdf oraz doc lub docx lub xls lub xlsx (lub</w:t>
      </w:r>
      <w:r w:rsidR="00534FED">
        <w:rPr>
          <w:rFonts w:eastAsia="Calibri" w:cstheme="minorHAnsi"/>
          <w:sz w:val="24"/>
          <w:szCs w:val="24"/>
        </w:rPr>
        <w:t xml:space="preserve"> </w:t>
      </w:r>
      <w:r w:rsidRPr="00406640">
        <w:rPr>
          <w:rFonts w:eastAsia="Calibri" w:cstheme="minorHAnsi"/>
          <w:sz w:val="24"/>
          <w:szCs w:val="24"/>
        </w:rPr>
        <w:t>innym formacie umożliwiającym edycję pliku), za pomocą poczty elektronicznej.</w:t>
      </w:r>
    </w:p>
    <w:p w14:paraId="37A09669" w14:textId="65BAF825" w:rsidR="00406640" w:rsidRPr="006B4F77" w:rsidRDefault="00406640" w:rsidP="00406640">
      <w:pPr>
        <w:spacing w:after="60" w:line="360" w:lineRule="auto"/>
        <w:rPr>
          <w:rFonts w:eastAsia="Calibri" w:cstheme="minorHAnsi"/>
          <w:sz w:val="24"/>
          <w:szCs w:val="24"/>
        </w:rPr>
      </w:pPr>
      <w:r w:rsidRPr="00406640">
        <w:rPr>
          <w:rFonts w:eastAsia="Calibri" w:cstheme="minorHAnsi"/>
          <w:sz w:val="24"/>
          <w:szCs w:val="24"/>
        </w:rPr>
        <w:t>Zamawiający zastrzega, iż rozliczeniu będą podlegały jedynie zlecenia zrealizowane na</w:t>
      </w:r>
      <w:r w:rsidR="00534FED">
        <w:rPr>
          <w:rFonts w:eastAsia="Calibri" w:cstheme="minorHAnsi"/>
          <w:sz w:val="24"/>
          <w:szCs w:val="24"/>
        </w:rPr>
        <w:t xml:space="preserve"> </w:t>
      </w:r>
      <w:r w:rsidRPr="00406640">
        <w:rPr>
          <w:rFonts w:eastAsia="Calibri" w:cstheme="minorHAnsi"/>
          <w:sz w:val="24"/>
          <w:szCs w:val="24"/>
        </w:rPr>
        <w:t>warunkach określonych w podpisanych przez Zamawiającego zleceniach. Wszelkie działania</w:t>
      </w:r>
      <w:r w:rsidR="00534FED">
        <w:rPr>
          <w:rFonts w:eastAsia="Calibri" w:cstheme="minorHAnsi"/>
          <w:sz w:val="24"/>
          <w:szCs w:val="24"/>
        </w:rPr>
        <w:t xml:space="preserve"> </w:t>
      </w:r>
      <w:r w:rsidRPr="00406640">
        <w:rPr>
          <w:rFonts w:eastAsia="Calibri" w:cstheme="minorHAnsi"/>
          <w:sz w:val="24"/>
          <w:szCs w:val="24"/>
        </w:rPr>
        <w:t>podjęte przez Wykonawcę wykraczające poza warunki zleceń nie będą podlegały rozliczeniu</w:t>
      </w:r>
      <w:r w:rsidR="00534FED">
        <w:rPr>
          <w:rFonts w:eastAsia="Calibri" w:cstheme="minorHAnsi"/>
          <w:sz w:val="24"/>
          <w:szCs w:val="24"/>
        </w:rPr>
        <w:t xml:space="preserve"> </w:t>
      </w:r>
      <w:r w:rsidRPr="00406640">
        <w:rPr>
          <w:rFonts w:eastAsia="Calibri" w:cstheme="minorHAnsi"/>
          <w:sz w:val="24"/>
          <w:szCs w:val="24"/>
        </w:rPr>
        <w:t xml:space="preserve">w ramach Umowy. Wynagrodzenie nie </w:t>
      </w:r>
      <w:r w:rsidR="006070A7">
        <w:rPr>
          <w:rFonts w:eastAsia="Calibri" w:cstheme="minorHAnsi"/>
          <w:sz w:val="24"/>
          <w:szCs w:val="24"/>
        </w:rPr>
        <w:t>będzie przysługiwało Wykonawcy</w:t>
      </w:r>
      <w:r w:rsidRPr="00406640">
        <w:rPr>
          <w:rFonts w:eastAsia="Calibri" w:cstheme="minorHAnsi"/>
          <w:sz w:val="24"/>
          <w:szCs w:val="24"/>
        </w:rPr>
        <w:t xml:space="preserve"> w szczególności za czas dojazdu do siedziby</w:t>
      </w:r>
      <w:r w:rsidR="00534FED">
        <w:rPr>
          <w:rFonts w:eastAsia="Calibri" w:cstheme="minorHAnsi"/>
          <w:sz w:val="24"/>
          <w:szCs w:val="24"/>
        </w:rPr>
        <w:t xml:space="preserve"> </w:t>
      </w:r>
      <w:r w:rsidRPr="00406640">
        <w:rPr>
          <w:rFonts w:eastAsia="Calibri" w:cstheme="minorHAnsi"/>
          <w:sz w:val="24"/>
          <w:szCs w:val="24"/>
        </w:rPr>
        <w:t>Zamawiającego, sądów, urzędów i innych instytucji, a także za czynności</w:t>
      </w:r>
      <w:r w:rsidR="00534FED">
        <w:rPr>
          <w:rFonts w:eastAsia="Calibri" w:cstheme="minorHAnsi"/>
          <w:sz w:val="24"/>
          <w:szCs w:val="24"/>
        </w:rPr>
        <w:t xml:space="preserve"> </w:t>
      </w:r>
      <w:r w:rsidR="00534FED" w:rsidRPr="00406640">
        <w:rPr>
          <w:rFonts w:eastAsia="Calibri" w:cstheme="minorHAnsi"/>
          <w:sz w:val="24"/>
          <w:szCs w:val="24"/>
        </w:rPr>
        <w:t>biurowo</w:t>
      </w:r>
      <w:r w:rsidR="00F97065">
        <w:rPr>
          <w:rFonts w:eastAsia="Calibri" w:cstheme="minorHAnsi"/>
          <w:sz w:val="24"/>
          <w:szCs w:val="24"/>
        </w:rPr>
        <w:t>-</w:t>
      </w:r>
      <w:r w:rsidR="00534FED" w:rsidRPr="00406640">
        <w:rPr>
          <w:rFonts w:eastAsia="Calibri" w:cstheme="minorHAnsi"/>
          <w:sz w:val="24"/>
          <w:szCs w:val="24"/>
        </w:rPr>
        <w:t>administracyjne</w:t>
      </w:r>
      <w:r w:rsidRPr="00406640">
        <w:rPr>
          <w:rFonts w:eastAsia="Calibri" w:cstheme="minorHAnsi"/>
          <w:sz w:val="24"/>
          <w:szCs w:val="24"/>
        </w:rPr>
        <w:t>, np. kserowanie, skanowanie, porządkowanie dokumentacji czy czas</w:t>
      </w:r>
      <w:r w:rsidR="00534FED">
        <w:rPr>
          <w:rFonts w:eastAsia="Calibri" w:cstheme="minorHAnsi"/>
          <w:sz w:val="24"/>
          <w:szCs w:val="24"/>
        </w:rPr>
        <w:t xml:space="preserve"> </w:t>
      </w:r>
      <w:r w:rsidRPr="00406640">
        <w:rPr>
          <w:rFonts w:eastAsia="Calibri" w:cstheme="minorHAnsi"/>
          <w:sz w:val="24"/>
          <w:szCs w:val="24"/>
        </w:rPr>
        <w:t>oczekiwania na infoliniach. Wykonawca wykona zlecenie na warunkach i w terminie w nim</w:t>
      </w:r>
      <w:r w:rsidR="00534FED">
        <w:rPr>
          <w:rFonts w:eastAsia="Calibri" w:cstheme="minorHAnsi"/>
          <w:sz w:val="24"/>
          <w:szCs w:val="24"/>
        </w:rPr>
        <w:t xml:space="preserve"> </w:t>
      </w:r>
      <w:r w:rsidRPr="00406640">
        <w:rPr>
          <w:rFonts w:eastAsia="Calibri" w:cstheme="minorHAnsi"/>
          <w:sz w:val="24"/>
          <w:szCs w:val="24"/>
        </w:rPr>
        <w:t>określonych. W związku z faktem, iż Zamawiający będzie płacił za czas rzeczywistego</w:t>
      </w:r>
      <w:r w:rsidR="00534FED">
        <w:rPr>
          <w:rFonts w:eastAsia="Calibri" w:cstheme="minorHAnsi"/>
          <w:sz w:val="24"/>
          <w:szCs w:val="24"/>
        </w:rPr>
        <w:t xml:space="preserve"> </w:t>
      </w:r>
      <w:r w:rsidRPr="00406640">
        <w:rPr>
          <w:rFonts w:eastAsia="Calibri" w:cstheme="minorHAnsi"/>
          <w:sz w:val="24"/>
          <w:szCs w:val="24"/>
        </w:rPr>
        <w:t xml:space="preserve">świadczenia usług prawnych, </w:t>
      </w:r>
      <w:r w:rsidR="006070A7">
        <w:rPr>
          <w:rFonts w:eastAsia="Calibri" w:cstheme="minorHAnsi"/>
          <w:sz w:val="24"/>
          <w:szCs w:val="24"/>
        </w:rPr>
        <w:t xml:space="preserve">okres realizacji </w:t>
      </w:r>
      <w:r w:rsidR="006070A7" w:rsidRPr="00406640">
        <w:rPr>
          <w:rFonts w:eastAsia="Calibri" w:cstheme="minorHAnsi"/>
          <w:sz w:val="24"/>
          <w:szCs w:val="24"/>
        </w:rPr>
        <w:t>umow</w:t>
      </w:r>
      <w:r w:rsidR="006070A7">
        <w:rPr>
          <w:rFonts w:eastAsia="Calibri" w:cstheme="minorHAnsi"/>
          <w:sz w:val="24"/>
          <w:szCs w:val="24"/>
        </w:rPr>
        <w:t>y</w:t>
      </w:r>
      <w:r w:rsidR="006070A7" w:rsidRPr="00406640">
        <w:rPr>
          <w:rFonts w:eastAsia="Calibri" w:cstheme="minorHAnsi"/>
          <w:sz w:val="24"/>
          <w:szCs w:val="24"/>
        </w:rPr>
        <w:t xml:space="preserve"> </w:t>
      </w:r>
      <w:r w:rsidRPr="00406640">
        <w:rPr>
          <w:rFonts w:eastAsia="Calibri" w:cstheme="minorHAnsi"/>
          <w:sz w:val="24"/>
          <w:szCs w:val="24"/>
        </w:rPr>
        <w:t>będzie kończył się z dniem w niej wskazanym</w:t>
      </w:r>
      <w:r w:rsidR="00534FED">
        <w:rPr>
          <w:rFonts w:eastAsia="Calibri" w:cstheme="minorHAnsi"/>
          <w:sz w:val="24"/>
          <w:szCs w:val="24"/>
        </w:rPr>
        <w:t xml:space="preserve"> </w:t>
      </w:r>
      <w:r w:rsidRPr="00406640">
        <w:rPr>
          <w:rFonts w:eastAsia="Calibri" w:cstheme="minorHAnsi"/>
          <w:sz w:val="24"/>
          <w:szCs w:val="24"/>
        </w:rPr>
        <w:t>lub z dniem wyczerpania środków w niej przewidzianych na realizację usług prawnych</w:t>
      </w:r>
      <w:r w:rsidR="00534FED">
        <w:rPr>
          <w:rFonts w:eastAsia="Calibri" w:cstheme="minorHAnsi"/>
          <w:sz w:val="24"/>
          <w:szCs w:val="24"/>
        </w:rPr>
        <w:t xml:space="preserve"> </w:t>
      </w:r>
      <w:r w:rsidRPr="00406640">
        <w:rPr>
          <w:rFonts w:eastAsia="Calibri" w:cstheme="minorHAnsi"/>
          <w:sz w:val="24"/>
          <w:szCs w:val="24"/>
        </w:rPr>
        <w:t>w zależności od tego, co pierwsze nastąpi. Zastrzec przy tym należy, że zlecenia przekazane</w:t>
      </w:r>
      <w:r w:rsidR="00534FED">
        <w:rPr>
          <w:rFonts w:eastAsia="Calibri" w:cstheme="minorHAnsi"/>
          <w:sz w:val="24"/>
          <w:szCs w:val="24"/>
        </w:rPr>
        <w:t xml:space="preserve"> </w:t>
      </w:r>
      <w:r w:rsidRPr="00406640">
        <w:rPr>
          <w:rFonts w:eastAsia="Calibri" w:cstheme="minorHAnsi"/>
          <w:sz w:val="24"/>
          <w:szCs w:val="24"/>
        </w:rPr>
        <w:t>Wykonawcy przed upływem terminu obowiązywania zawartej umowy Wykonawca ma</w:t>
      </w:r>
      <w:r w:rsidR="00534FED">
        <w:rPr>
          <w:rFonts w:eastAsia="Calibri" w:cstheme="minorHAnsi"/>
          <w:sz w:val="24"/>
          <w:szCs w:val="24"/>
        </w:rPr>
        <w:t xml:space="preserve"> </w:t>
      </w:r>
      <w:r w:rsidRPr="00406640">
        <w:rPr>
          <w:rFonts w:eastAsia="Calibri" w:cstheme="minorHAnsi"/>
          <w:sz w:val="24"/>
          <w:szCs w:val="24"/>
        </w:rPr>
        <w:t xml:space="preserve">obowiązek zrealizować w pełnym zakresie na zasadach i w terminach określonych w </w:t>
      </w:r>
      <w:r w:rsidR="00F97065">
        <w:rPr>
          <w:rFonts w:eastAsia="Calibri" w:cstheme="minorHAnsi"/>
          <w:sz w:val="24"/>
          <w:szCs w:val="24"/>
        </w:rPr>
        <w:t>S</w:t>
      </w:r>
      <w:r w:rsidRPr="00406640">
        <w:rPr>
          <w:rFonts w:eastAsia="Calibri" w:cstheme="minorHAnsi"/>
          <w:sz w:val="24"/>
          <w:szCs w:val="24"/>
        </w:rPr>
        <w:t>OPZ</w:t>
      </w:r>
      <w:r w:rsidR="00534FED">
        <w:rPr>
          <w:rFonts w:eastAsia="Calibri" w:cstheme="minorHAnsi"/>
          <w:sz w:val="24"/>
          <w:szCs w:val="24"/>
        </w:rPr>
        <w:t xml:space="preserve"> </w:t>
      </w:r>
      <w:r w:rsidRPr="00406640">
        <w:rPr>
          <w:rFonts w:eastAsia="Calibri" w:cstheme="minorHAnsi"/>
          <w:sz w:val="24"/>
          <w:szCs w:val="24"/>
        </w:rPr>
        <w:t>oraz umowie.</w:t>
      </w:r>
    </w:p>
    <w:p w14:paraId="1B2EC71B" w14:textId="104ECF20" w:rsidR="00217ED8" w:rsidRPr="006B4F77" w:rsidRDefault="00217ED8" w:rsidP="00217ED8">
      <w:pPr>
        <w:keepNext/>
        <w:keepLines/>
        <w:numPr>
          <w:ilvl w:val="0"/>
          <w:numId w:val="31"/>
        </w:numPr>
        <w:spacing w:before="240" w:after="240" w:line="360" w:lineRule="auto"/>
        <w:outlineLvl w:val="0"/>
        <w:rPr>
          <w:rFonts w:eastAsia="Calibri" w:cstheme="minorHAnsi"/>
          <w:b/>
          <w:bCs/>
          <w:sz w:val="24"/>
          <w:szCs w:val="24"/>
          <w:lang w:eastAsia="pl-PL"/>
        </w:rPr>
      </w:pPr>
      <w:r w:rsidRPr="006B4F77">
        <w:rPr>
          <w:rFonts w:eastAsia="Calibri" w:cstheme="minorHAnsi"/>
          <w:b/>
          <w:bCs/>
          <w:sz w:val="24"/>
          <w:szCs w:val="24"/>
          <w:lang w:eastAsia="pl-PL"/>
        </w:rPr>
        <w:t>L</w:t>
      </w:r>
      <w:r w:rsidR="001A35BA">
        <w:rPr>
          <w:rFonts w:eastAsia="Calibri" w:cstheme="minorHAnsi"/>
          <w:b/>
          <w:bCs/>
          <w:sz w:val="24"/>
          <w:szCs w:val="24"/>
          <w:lang w:eastAsia="pl-PL"/>
        </w:rPr>
        <w:t>o</w:t>
      </w:r>
      <w:r w:rsidRPr="006B4F77">
        <w:rPr>
          <w:rFonts w:eastAsia="Calibri" w:cstheme="minorHAnsi"/>
          <w:b/>
          <w:bCs/>
          <w:sz w:val="24"/>
          <w:szCs w:val="24"/>
          <w:lang w:eastAsia="pl-PL"/>
        </w:rPr>
        <w:t>gotypy i hasła.</w:t>
      </w:r>
    </w:p>
    <w:p w14:paraId="70DFB119" w14:textId="4F2A0578" w:rsidR="00B81501" w:rsidRPr="00B81501" w:rsidRDefault="00217ED8" w:rsidP="00B81501">
      <w:pPr>
        <w:spacing w:after="60" w:line="360" w:lineRule="auto"/>
        <w:rPr>
          <w:rFonts w:eastAsia="Calibri" w:cstheme="minorHAnsi"/>
          <w:sz w:val="24"/>
          <w:szCs w:val="24"/>
        </w:rPr>
      </w:pPr>
      <w:r w:rsidRPr="006B4F77">
        <w:rPr>
          <w:rFonts w:eastAsia="Calibri" w:cstheme="minorHAnsi"/>
          <w:sz w:val="24"/>
          <w:szCs w:val="24"/>
        </w:rPr>
        <w:t>Wykonawca ma obowiązek oznakowania wszystkich materiałów powstających w ramach realizacji zamówienia zgodnie z dokumentami dostępnym</w:t>
      </w:r>
      <w:r w:rsidR="00F25C29">
        <w:rPr>
          <w:rFonts w:eastAsia="Calibri" w:cstheme="minorHAnsi"/>
          <w:sz w:val="24"/>
          <w:szCs w:val="24"/>
        </w:rPr>
        <w:t>i</w:t>
      </w:r>
      <w:r w:rsidRPr="006B4F77">
        <w:rPr>
          <w:rFonts w:eastAsia="Calibri" w:cstheme="minorHAnsi"/>
          <w:sz w:val="24"/>
          <w:szCs w:val="24"/>
        </w:rPr>
        <w:t xml:space="preserve"> na stronie </w:t>
      </w:r>
      <w:hyperlink r:id="rId10" w:history="1">
        <w:r w:rsidRPr="006B4F77">
          <w:rPr>
            <w:rStyle w:val="Hipercze"/>
            <w:rFonts w:eastAsia="Calibri" w:cstheme="minorHAnsi"/>
            <w:sz w:val="24"/>
            <w:szCs w:val="24"/>
          </w:rPr>
          <w:t>www.funduszeeuropejskie.gov.pl</w:t>
        </w:r>
      </w:hyperlink>
      <w:r w:rsidRPr="006B4F77">
        <w:rPr>
          <w:rFonts w:eastAsia="Calibri" w:cstheme="minorHAnsi"/>
          <w:sz w:val="24"/>
          <w:szCs w:val="24"/>
        </w:rPr>
        <w:t xml:space="preserve">. Wykonawca zobowiązany jest do umieszczania na wszystkich dokumentach wytworzonych w związku z realizacją przedmiotowego zamówienia odpowiednich logotypów </w:t>
      </w:r>
      <w:r w:rsidR="00B81501">
        <w:rPr>
          <w:rFonts w:eastAsia="Calibri" w:cstheme="minorHAnsi"/>
          <w:sz w:val="24"/>
          <w:szCs w:val="24"/>
        </w:rPr>
        <w:t>FERC</w:t>
      </w:r>
      <w:r w:rsidRPr="006B4F77">
        <w:rPr>
          <w:rFonts w:eastAsia="Calibri" w:cstheme="minorHAnsi"/>
          <w:sz w:val="24"/>
          <w:szCs w:val="24"/>
        </w:rPr>
        <w:t xml:space="preserve"> zgodnie z „</w:t>
      </w:r>
      <w:r w:rsidR="00B81501" w:rsidRPr="00B81501">
        <w:rPr>
          <w:rFonts w:eastAsia="Calibri" w:cstheme="minorHAnsi"/>
          <w:sz w:val="24"/>
          <w:szCs w:val="24"/>
        </w:rPr>
        <w:t>Podręcznik wnioskodawcy i beneficjenta</w:t>
      </w:r>
    </w:p>
    <w:p w14:paraId="6C9917C5" w14:textId="1B0B0CA3" w:rsidR="00217ED8" w:rsidRPr="006B4F77" w:rsidRDefault="00B81501" w:rsidP="00B81501">
      <w:pPr>
        <w:spacing w:after="60" w:line="360" w:lineRule="auto"/>
        <w:rPr>
          <w:rFonts w:eastAsia="Calibri" w:cstheme="minorHAnsi"/>
          <w:sz w:val="24"/>
          <w:szCs w:val="24"/>
        </w:rPr>
      </w:pPr>
      <w:r w:rsidRPr="00B81501">
        <w:rPr>
          <w:rFonts w:eastAsia="Calibri" w:cstheme="minorHAnsi"/>
          <w:sz w:val="24"/>
          <w:szCs w:val="24"/>
        </w:rPr>
        <w:t>Funduszy Europejskich na lata 2021-2027</w:t>
      </w:r>
      <w:r>
        <w:rPr>
          <w:rFonts w:eastAsia="Calibri" w:cstheme="minorHAnsi"/>
          <w:sz w:val="24"/>
          <w:szCs w:val="24"/>
        </w:rPr>
        <w:t xml:space="preserve"> </w:t>
      </w:r>
      <w:r w:rsidRPr="00B81501">
        <w:rPr>
          <w:rFonts w:eastAsia="Calibri" w:cstheme="minorHAnsi"/>
          <w:sz w:val="24"/>
          <w:szCs w:val="24"/>
        </w:rPr>
        <w:t>w zakresie informacji i promocji</w:t>
      </w:r>
      <w:r w:rsidR="00217ED8" w:rsidRPr="006B4F77">
        <w:rPr>
          <w:rFonts w:eastAsia="Calibri" w:cstheme="minorHAnsi"/>
          <w:sz w:val="24"/>
          <w:szCs w:val="24"/>
        </w:rPr>
        <w:t xml:space="preserve">”, odpowiednich logotypów </w:t>
      </w:r>
      <w:r w:rsidR="007C6BAC">
        <w:rPr>
          <w:rFonts w:eastAsia="Calibri" w:cstheme="minorHAnsi"/>
          <w:sz w:val="24"/>
          <w:szCs w:val="24"/>
        </w:rPr>
        <w:t>FERS i KPO,</w:t>
      </w:r>
      <w:r w:rsidR="00217ED8" w:rsidRPr="006B4F77">
        <w:rPr>
          <w:rFonts w:eastAsia="Calibri" w:cstheme="minorHAnsi"/>
          <w:sz w:val="24"/>
          <w:szCs w:val="24"/>
        </w:rPr>
        <w:t xml:space="preserve"> oraz informacji o współfinansowaniu zamówienia ze środków Unii Europejskiej. </w:t>
      </w:r>
    </w:p>
    <w:p w14:paraId="4831CCEA" w14:textId="24F1ACD3" w:rsidR="00217ED8" w:rsidRPr="006B4F77" w:rsidRDefault="00217ED8" w:rsidP="00217ED8">
      <w:pPr>
        <w:spacing w:after="60" w:line="360" w:lineRule="auto"/>
        <w:rPr>
          <w:rFonts w:eastAsia="Calibri" w:cstheme="minorHAnsi"/>
          <w:sz w:val="24"/>
          <w:szCs w:val="24"/>
        </w:rPr>
      </w:pPr>
      <w:r w:rsidRPr="006B4F77">
        <w:rPr>
          <w:rFonts w:eastAsia="Calibri" w:cstheme="minorHAnsi"/>
          <w:sz w:val="24"/>
          <w:szCs w:val="24"/>
        </w:rPr>
        <w:t>W toku realizacji zamówienia Zamawiający może przekazać wykonawcy informację o współfinansowaniu zamówienia z innych niż POPC</w:t>
      </w:r>
      <w:r w:rsidR="007C6BAC">
        <w:rPr>
          <w:rFonts w:eastAsia="Calibri" w:cstheme="minorHAnsi"/>
          <w:sz w:val="24"/>
          <w:szCs w:val="24"/>
        </w:rPr>
        <w:t xml:space="preserve">, </w:t>
      </w:r>
      <w:r w:rsidRPr="006B4F77">
        <w:rPr>
          <w:rFonts w:eastAsia="Calibri" w:cstheme="minorHAnsi"/>
          <w:sz w:val="24"/>
          <w:szCs w:val="24"/>
        </w:rPr>
        <w:t>FERC</w:t>
      </w:r>
      <w:r w:rsidR="007C6BAC">
        <w:rPr>
          <w:rFonts w:eastAsia="Calibri" w:cstheme="minorHAnsi"/>
          <w:sz w:val="24"/>
          <w:szCs w:val="24"/>
        </w:rPr>
        <w:t>, FERS lub KPO</w:t>
      </w:r>
      <w:r w:rsidRPr="006B4F77">
        <w:rPr>
          <w:rFonts w:eastAsia="Calibri" w:cstheme="minorHAnsi"/>
          <w:sz w:val="24"/>
          <w:szCs w:val="24"/>
        </w:rPr>
        <w:t xml:space="preserve"> programów lub </w:t>
      </w:r>
      <w:r w:rsidRPr="006B4F77">
        <w:rPr>
          <w:rFonts w:eastAsia="Calibri" w:cstheme="minorHAnsi"/>
          <w:sz w:val="24"/>
          <w:szCs w:val="24"/>
        </w:rPr>
        <w:lastRenderedPageBreak/>
        <w:t xml:space="preserve">funduszy. Wówczas Wykonawca zobowiązany będzie do oznakowania wszystkich materiałów powstających w ramach realizacji zamówienia zgodnie z właściwymi regulacjami w tym zakresie, funkcjonującymi w programie lub funduszu, z którego współfinansowane będzie zamówienie. </w:t>
      </w:r>
    </w:p>
    <w:p w14:paraId="398EF9A9" w14:textId="32B6B63A" w:rsidR="00217ED8" w:rsidRPr="006B4F77" w:rsidRDefault="00217ED8" w:rsidP="00217ED8">
      <w:pPr>
        <w:spacing w:after="60" w:line="360" w:lineRule="auto"/>
        <w:rPr>
          <w:rFonts w:eastAsia="Calibri" w:cstheme="minorHAnsi"/>
          <w:sz w:val="24"/>
          <w:szCs w:val="24"/>
        </w:rPr>
      </w:pPr>
      <w:r w:rsidRPr="006B4F77">
        <w:rPr>
          <w:rFonts w:eastAsia="Calibri" w:cstheme="minorHAnsi"/>
          <w:sz w:val="24"/>
          <w:szCs w:val="24"/>
        </w:rPr>
        <w:t xml:space="preserve">Zmiana zasad oznakowania nie stanowi podstawy do zmiany zawartej umowy oraz nie może skutkować zmianą wynagrodzenia należnego Wykonawcy. </w:t>
      </w:r>
    </w:p>
    <w:p w14:paraId="183F280F" w14:textId="749EB093" w:rsidR="003A46C6" w:rsidRPr="0087501C" w:rsidRDefault="003A46C6" w:rsidP="0087501C">
      <w:pPr>
        <w:rPr>
          <w:rFonts w:cstheme="minorHAnsi"/>
          <w:sz w:val="24"/>
          <w:szCs w:val="24"/>
        </w:rPr>
      </w:pPr>
    </w:p>
    <w:sectPr w:rsidR="003A46C6" w:rsidRPr="0087501C" w:rsidSect="00EC7053">
      <w:headerReference w:type="default" r:id="rId11"/>
      <w:footerReference w:type="default" r:id="rId12"/>
      <w:pgSz w:w="11906" w:h="16838"/>
      <w:pgMar w:top="1417" w:right="1417" w:bottom="1417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BC8D" w14:textId="77777777" w:rsidR="00BE2B92" w:rsidRDefault="00BE2B92" w:rsidP="00D433BB">
      <w:pPr>
        <w:spacing w:after="0" w:line="240" w:lineRule="auto"/>
      </w:pPr>
      <w:r>
        <w:separator/>
      </w:r>
    </w:p>
  </w:endnote>
  <w:endnote w:type="continuationSeparator" w:id="0">
    <w:p w14:paraId="219DC987" w14:textId="77777777" w:rsidR="00BE2B92" w:rsidRDefault="00BE2B92" w:rsidP="00D4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2CFE" w14:textId="7AABF978" w:rsidR="00DD7D55" w:rsidRDefault="00DD7D55" w:rsidP="00DD7D55">
    <w:pPr>
      <w:pStyle w:val="Stopka"/>
      <w:tabs>
        <w:tab w:val="right" w:pos="9720"/>
      </w:tabs>
      <w:ind w:left="-283"/>
      <w:jc w:val="center"/>
      <w:rPr>
        <w:rFonts w:ascii="Arial" w:hAnsi="Arial" w:cs="Arial"/>
        <w:color w:val="646464"/>
        <w:sz w:val="10"/>
        <w:szCs w:val="10"/>
      </w:rPr>
    </w:pPr>
    <w:r w:rsidRPr="00D47E86">
      <w:rPr>
        <w:rFonts w:ascii="Calibri" w:hAnsi="Calibri" w:cs="Calibri"/>
        <w:sz w:val="16"/>
        <w:szCs w:val="16"/>
      </w:rPr>
      <w:t xml:space="preserve">Zamówienie jest </w:t>
    </w:r>
    <w:r w:rsidRPr="00297F09">
      <w:rPr>
        <w:rFonts w:ascii="Calibri" w:hAnsi="Calibri" w:cs="Calibri"/>
        <w:sz w:val="16"/>
        <w:szCs w:val="16"/>
        <w:lang w:eastAsia="it-IT"/>
      </w:rPr>
      <w:t xml:space="preserve">współfinansowane </w:t>
    </w:r>
    <w:r w:rsidRPr="00297F09">
      <w:rPr>
        <w:rFonts w:ascii="Calibri" w:hAnsi="Calibri" w:cs="Calibri"/>
        <w:sz w:val="16"/>
        <w:szCs w:val="16"/>
      </w:rPr>
      <w:t>ze środków Europejskiego Funduszu Rozwoju Regionalnego w ramach Pomocy Technicznej Programu Operacyjnego Fundusze Europejskie na Rozwój Cyfrowy 2021-2027 oraz Pomocy Technicznej Programu Fundusze Europejskie dla Rozwoju Społecznego 2021-2027, a także ze środków Krajowego Planu Odbudowy i Zwiększania Odporności</w:t>
    </w:r>
    <w:r w:rsidR="00A21103">
      <w:rPr>
        <w:noProof/>
        <w:color w:val="646464"/>
        <w:sz w:val="10"/>
        <w:szCs w:val="10"/>
        <w:lang w:val="en-US"/>
      </w:rPr>
      <w:pict w14:anchorId="498D1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13.1pt;width:599.6pt;height:262.45pt;z-index:-251658752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</w:p>
  <w:p w14:paraId="6489EAE8" w14:textId="3F6D901C" w:rsidR="00D5644E" w:rsidRPr="007C0656" w:rsidRDefault="00DC6D6F" w:rsidP="00412D55">
    <w:pPr>
      <w:pStyle w:val="Stopka"/>
      <w:tabs>
        <w:tab w:val="center" w:pos="6237"/>
        <w:tab w:val="right" w:pos="9720"/>
      </w:tabs>
      <w:ind w:left="-283" w:firstLine="709"/>
      <w:rPr>
        <w:rFonts w:ascii="Arial" w:hAnsi="Arial" w:cs="Arial"/>
        <w:color w:val="646464"/>
        <w:sz w:val="10"/>
        <w:szCs w:val="10"/>
      </w:rPr>
    </w:pPr>
    <w:r>
      <w:rPr>
        <w:rFonts w:ascii="Arial" w:hAnsi="Arial" w:cs="Arial"/>
        <w:color w:val="646464"/>
        <w:sz w:val="10"/>
        <w:szCs w:val="10"/>
      </w:rPr>
      <w:tab/>
    </w:r>
    <w:r>
      <w:rPr>
        <w:rFonts w:ascii="Arial" w:hAnsi="Arial" w:cs="Arial"/>
        <w:color w:val="646464"/>
        <w:sz w:val="10"/>
        <w:szCs w:val="10"/>
      </w:rPr>
      <w:tab/>
      <w:t xml:space="preserve"> </w:t>
    </w:r>
  </w:p>
  <w:p w14:paraId="14DAD482" w14:textId="3F3B6E6D" w:rsidR="00D433BB" w:rsidRDefault="00D433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73AB" w14:textId="77777777" w:rsidR="00BE2B92" w:rsidRDefault="00BE2B92" w:rsidP="00D433BB">
      <w:pPr>
        <w:spacing w:after="0" w:line="240" w:lineRule="auto"/>
      </w:pPr>
      <w:r>
        <w:separator/>
      </w:r>
    </w:p>
  </w:footnote>
  <w:footnote w:type="continuationSeparator" w:id="0">
    <w:p w14:paraId="3106517F" w14:textId="77777777" w:rsidR="00BE2B92" w:rsidRDefault="00BE2B92" w:rsidP="00D4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1D12" w14:textId="051D36CC" w:rsidR="00D433BB" w:rsidRDefault="00EC7053">
    <w:pPr>
      <w:pStyle w:val="Nagwek"/>
    </w:pPr>
    <w:r w:rsidRPr="00F21491">
      <w:rPr>
        <w:noProof/>
      </w:rPr>
      <w:drawing>
        <wp:inline distT="0" distB="0" distL="0" distR="0" wp14:anchorId="0621B503" wp14:editId="2170F2BE">
          <wp:extent cx="5426710" cy="433705"/>
          <wp:effectExtent l="0" t="0" r="2540" b="4445"/>
          <wp:docPr id="944987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71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F28"/>
    <w:multiLevelType w:val="hybridMultilevel"/>
    <w:tmpl w:val="332EC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351C68"/>
    <w:multiLevelType w:val="hybridMultilevel"/>
    <w:tmpl w:val="E17CE3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C4E41F4"/>
    <w:multiLevelType w:val="hybridMultilevel"/>
    <w:tmpl w:val="0BECA6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D2F46A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3373"/>
    <w:multiLevelType w:val="hybridMultilevel"/>
    <w:tmpl w:val="006C6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E0973"/>
    <w:multiLevelType w:val="hybridMultilevel"/>
    <w:tmpl w:val="736C77A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9172DD"/>
    <w:multiLevelType w:val="hybridMultilevel"/>
    <w:tmpl w:val="9C8E7F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FF71867"/>
    <w:multiLevelType w:val="hybridMultilevel"/>
    <w:tmpl w:val="9B7E9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6966"/>
    <w:multiLevelType w:val="hybridMultilevel"/>
    <w:tmpl w:val="718C7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2423B4"/>
    <w:multiLevelType w:val="hybridMultilevel"/>
    <w:tmpl w:val="C72C7F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F86C16"/>
    <w:multiLevelType w:val="hybridMultilevel"/>
    <w:tmpl w:val="B9DEF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107733"/>
    <w:multiLevelType w:val="hybridMultilevel"/>
    <w:tmpl w:val="375C541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57E0B35"/>
    <w:multiLevelType w:val="hybridMultilevel"/>
    <w:tmpl w:val="1FCACF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6AF43F8"/>
    <w:multiLevelType w:val="hybridMultilevel"/>
    <w:tmpl w:val="9A448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65460"/>
    <w:multiLevelType w:val="hybridMultilevel"/>
    <w:tmpl w:val="8B720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356F6"/>
    <w:multiLevelType w:val="hybridMultilevel"/>
    <w:tmpl w:val="9C9C7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9721E"/>
    <w:multiLevelType w:val="hybridMultilevel"/>
    <w:tmpl w:val="60BA3F7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46606E"/>
    <w:multiLevelType w:val="hybridMultilevel"/>
    <w:tmpl w:val="38CA0A8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7877371"/>
    <w:multiLevelType w:val="hybridMultilevel"/>
    <w:tmpl w:val="70E68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53652"/>
    <w:multiLevelType w:val="hybridMultilevel"/>
    <w:tmpl w:val="4B08BE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2F46A9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5B626CD"/>
    <w:multiLevelType w:val="hybridMultilevel"/>
    <w:tmpl w:val="03E6DFAC"/>
    <w:lvl w:ilvl="0" w:tplc="7F8ED9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0B7AA1"/>
    <w:multiLevelType w:val="hybridMultilevel"/>
    <w:tmpl w:val="A53EB854"/>
    <w:lvl w:ilvl="0" w:tplc="851CF1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B0510"/>
    <w:multiLevelType w:val="hybridMultilevel"/>
    <w:tmpl w:val="CE6EF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B03DC2"/>
    <w:multiLevelType w:val="hybridMultilevel"/>
    <w:tmpl w:val="8B720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458BE"/>
    <w:multiLevelType w:val="hybridMultilevel"/>
    <w:tmpl w:val="385EFA04"/>
    <w:lvl w:ilvl="0" w:tplc="6554B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32922"/>
    <w:multiLevelType w:val="hybridMultilevel"/>
    <w:tmpl w:val="83B2D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31F75C6"/>
    <w:multiLevelType w:val="hybridMultilevel"/>
    <w:tmpl w:val="F9DE6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A3F98"/>
    <w:multiLevelType w:val="hybridMultilevel"/>
    <w:tmpl w:val="B92C5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322A4"/>
    <w:multiLevelType w:val="hybridMultilevel"/>
    <w:tmpl w:val="3B76B1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C344E"/>
    <w:multiLevelType w:val="hybridMultilevel"/>
    <w:tmpl w:val="93DA94C6"/>
    <w:lvl w:ilvl="0" w:tplc="F1A25820">
      <w:start w:val="1"/>
      <w:numFmt w:val="decimal"/>
      <w:lvlText w:val="%1."/>
      <w:lvlJc w:val="left"/>
      <w:pPr>
        <w:ind w:left="1004" w:hanging="360"/>
      </w:pPr>
      <w:rPr>
        <w:rFonts w:asciiTheme="minorHAnsi" w:eastAsia="Calibr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D25DF0"/>
    <w:multiLevelType w:val="hybridMultilevel"/>
    <w:tmpl w:val="10F0481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5F92B75"/>
    <w:multiLevelType w:val="hybridMultilevel"/>
    <w:tmpl w:val="BE425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963FBB"/>
    <w:multiLevelType w:val="hybridMultilevel"/>
    <w:tmpl w:val="6D445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986FD2"/>
    <w:multiLevelType w:val="hybridMultilevel"/>
    <w:tmpl w:val="1F963B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607275526">
    <w:abstractNumId w:val="17"/>
  </w:num>
  <w:num w:numId="2" w16cid:durableId="965046109">
    <w:abstractNumId w:val="25"/>
  </w:num>
  <w:num w:numId="3" w16cid:durableId="1968197983">
    <w:abstractNumId w:val="26"/>
  </w:num>
  <w:num w:numId="4" w16cid:durableId="1439065707">
    <w:abstractNumId w:val="2"/>
  </w:num>
  <w:num w:numId="5" w16cid:durableId="1480030844">
    <w:abstractNumId w:val="0"/>
  </w:num>
  <w:num w:numId="6" w16cid:durableId="1284075218">
    <w:abstractNumId w:val="3"/>
  </w:num>
  <w:num w:numId="7" w16cid:durableId="1290211364">
    <w:abstractNumId w:val="31"/>
  </w:num>
  <w:num w:numId="8" w16cid:durableId="1834179265">
    <w:abstractNumId w:val="9"/>
  </w:num>
  <w:num w:numId="9" w16cid:durableId="1727756089">
    <w:abstractNumId w:val="7"/>
  </w:num>
  <w:num w:numId="10" w16cid:durableId="93480201">
    <w:abstractNumId w:val="30"/>
  </w:num>
  <w:num w:numId="11" w16cid:durableId="1434322892">
    <w:abstractNumId w:val="1"/>
  </w:num>
  <w:num w:numId="12" w16cid:durableId="1183665313">
    <w:abstractNumId w:val="11"/>
  </w:num>
  <w:num w:numId="13" w16cid:durableId="2031952155">
    <w:abstractNumId w:val="32"/>
  </w:num>
  <w:num w:numId="14" w16cid:durableId="772286852">
    <w:abstractNumId w:val="16"/>
  </w:num>
  <w:num w:numId="15" w16cid:durableId="1968122998">
    <w:abstractNumId w:val="12"/>
  </w:num>
  <w:num w:numId="16" w16cid:durableId="1445033807">
    <w:abstractNumId w:val="21"/>
  </w:num>
  <w:num w:numId="17" w16cid:durableId="1870799857">
    <w:abstractNumId w:val="24"/>
  </w:num>
  <w:num w:numId="18" w16cid:durableId="23403836">
    <w:abstractNumId w:val="5"/>
  </w:num>
  <w:num w:numId="19" w16cid:durableId="787940172">
    <w:abstractNumId w:val="29"/>
  </w:num>
  <w:num w:numId="20" w16cid:durableId="474566293">
    <w:abstractNumId w:val="4"/>
  </w:num>
  <w:num w:numId="21" w16cid:durableId="44068191">
    <w:abstractNumId w:val="18"/>
  </w:num>
  <w:num w:numId="22" w16cid:durableId="729036009">
    <w:abstractNumId w:val="27"/>
  </w:num>
  <w:num w:numId="23" w16cid:durableId="1110667682">
    <w:abstractNumId w:val="6"/>
  </w:num>
  <w:num w:numId="24" w16cid:durableId="547030872">
    <w:abstractNumId w:val="15"/>
  </w:num>
  <w:num w:numId="25" w16cid:durableId="1758207202">
    <w:abstractNumId w:val="10"/>
  </w:num>
  <w:num w:numId="26" w16cid:durableId="842861281">
    <w:abstractNumId w:val="22"/>
  </w:num>
  <w:num w:numId="27" w16cid:durableId="2048675821">
    <w:abstractNumId w:val="19"/>
  </w:num>
  <w:num w:numId="28" w16cid:durableId="190263380">
    <w:abstractNumId w:val="13"/>
  </w:num>
  <w:num w:numId="29" w16cid:durableId="1364481682">
    <w:abstractNumId w:val="8"/>
  </w:num>
  <w:num w:numId="30" w16cid:durableId="2003192480">
    <w:abstractNumId w:val="28"/>
  </w:num>
  <w:num w:numId="31" w16cid:durableId="597372893">
    <w:abstractNumId w:val="20"/>
  </w:num>
  <w:num w:numId="32" w16cid:durableId="1952975139">
    <w:abstractNumId w:val="23"/>
  </w:num>
  <w:num w:numId="33" w16cid:durableId="6768113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BF"/>
    <w:rsid w:val="0000284E"/>
    <w:rsid w:val="000041C4"/>
    <w:rsid w:val="00022B45"/>
    <w:rsid w:val="000407D1"/>
    <w:rsid w:val="00050FB3"/>
    <w:rsid w:val="00062646"/>
    <w:rsid w:val="000A33F3"/>
    <w:rsid w:val="000A6CB8"/>
    <w:rsid w:val="000E6E50"/>
    <w:rsid w:val="000F0F4F"/>
    <w:rsid w:val="001046E8"/>
    <w:rsid w:val="00105E7C"/>
    <w:rsid w:val="00111AAC"/>
    <w:rsid w:val="00113D71"/>
    <w:rsid w:val="00131448"/>
    <w:rsid w:val="0013364F"/>
    <w:rsid w:val="0014351B"/>
    <w:rsid w:val="001617F1"/>
    <w:rsid w:val="001711A4"/>
    <w:rsid w:val="00172AE5"/>
    <w:rsid w:val="001879E2"/>
    <w:rsid w:val="00191687"/>
    <w:rsid w:val="00191774"/>
    <w:rsid w:val="001A0CDD"/>
    <w:rsid w:val="001A35BA"/>
    <w:rsid w:val="001B2699"/>
    <w:rsid w:val="001B4ABB"/>
    <w:rsid w:val="001C7A79"/>
    <w:rsid w:val="001F4940"/>
    <w:rsid w:val="001F5F5B"/>
    <w:rsid w:val="00205C16"/>
    <w:rsid w:val="00214C14"/>
    <w:rsid w:val="00217ED8"/>
    <w:rsid w:val="002206DE"/>
    <w:rsid w:val="00242E08"/>
    <w:rsid w:val="00264449"/>
    <w:rsid w:val="00282D2A"/>
    <w:rsid w:val="002A1BE5"/>
    <w:rsid w:val="002C5EAA"/>
    <w:rsid w:val="002C6FEE"/>
    <w:rsid w:val="002D04C1"/>
    <w:rsid w:val="002D3E84"/>
    <w:rsid w:val="002E35D8"/>
    <w:rsid w:val="002F3ABC"/>
    <w:rsid w:val="00301A71"/>
    <w:rsid w:val="00316551"/>
    <w:rsid w:val="0032363D"/>
    <w:rsid w:val="003327A1"/>
    <w:rsid w:val="003613EA"/>
    <w:rsid w:val="003A46C6"/>
    <w:rsid w:val="003B67FF"/>
    <w:rsid w:val="003C0D88"/>
    <w:rsid w:val="003D3954"/>
    <w:rsid w:val="003D70E5"/>
    <w:rsid w:val="003F60D0"/>
    <w:rsid w:val="00406640"/>
    <w:rsid w:val="00412D55"/>
    <w:rsid w:val="004131BF"/>
    <w:rsid w:val="00414046"/>
    <w:rsid w:val="0041541B"/>
    <w:rsid w:val="0042394E"/>
    <w:rsid w:val="00431164"/>
    <w:rsid w:val="00440C65"/>
    <w:rsid w:val="00450620"/>
    <w:rsid w:val="00463678"/>
    <w:rsid w:val="00467294"/>
    <w:rsid w:val="00473B2F"/>
    <w:rsid w:val="00476FBA"/>
    <w:rsid w:val="00477204"/>
    <w:rsid w:val="004A1399"/>
    <w:rsid w:val="004E23A4"/>
    <w:rsid w:val="004E2F32"/>
    <w:rsid w:val="004E3D11"/>
    <w:rsid w:val="004F1915"/>
    <w:rsid w:val="0051235B"/>
    <w:rsid w:val="00534D58"/>
    <w:rsid w:val="00534FED"/>
    <w:rsid w:val="00540323"/>
    <w:rsid w:val="00540670"/>
    <w:rsid w:val="005521FE"/>
    <w:rsid w:val="00574490"/>
    <w:rsid w:val="00576405"/>
    <w:rsid w:val="00581498"/>
    <w:rsid w:val="005A0799"/>
    <w:rsid w:val="005A2C77"/>
    <w:rsid w:val="005A68A6"/>
    <w:rsid w:val="005B4D07"/>
    <w:rsid w:val="005B6EAC"/>
    <w:rsid w:val="005C6A3C"/>
    <w:rsid w:val="006070A7"/>
    <w:rsid w:val="0062439F"/>
    <w:rsid w:val="006301AD"/>
    <w:rsid w:val="00631689"/>
    <w:rsid w:val="00637D95"/>
    <w:rsid w:val="006537FB"/>
    <w:rsid w:val="00655B25"/>
    <w:rsid w:val="006704C3"/>
    <w:rsid w:val="006A5A22"/>
    <w:rsid w:val="006B7A45"/>
    <w:rsid w:val="006C29C8"/>
    <w:rsid w:val="006C7480"/>
    <w:rsid w:val="00700971"/>
    <w:rsid w:val="00712619"/>
    <w:rsid w:val="007176F8"/>
    <w:rsid w:val="00757AE0"/>
    <w:rsid w:val="007951B8"/>
    <w:rsid w:val="007C3FD7"/>
    <w:rsid w:val="007C65CD"/>
    <w:rsid w:val="007C6BAC"/>
    <w:rsid w:val="007D5846"/>
    <w:rsid w:val="007D5C57"/>
    <w:rsid w:val="007D680E"/>
    <w:rsid w:val="007E2C35"/>
    <w:rsid w:val="007E4057"/>
    <w:rsid w:val="007F5516"/>
    <w:rsid w:val="00846A20"/>
    <w:rsid w:val="0087501C"/>
    <w:rsid w:val="00877955"/>
    <w:rsid w:val="00882725"/>
    <w:rsid w:val="008B7E93"/>
    <w:rsid w:val="008E5628"/>
    <w:rsid w:val="008F1D07"/>
    <w:rsid w:val="008F4875"/>
    <w:rsid w:val="00902E6A"/>
    <w:rsid w:val="00905FA0"/>
    <w:rsid w:val="009325A6"/>
    <w:rsid w:val="009424BB"/>
    <w:rsid w:val="0095180D"/>
    <w:rsid w:val="00973D73"/>
    <w:rsid w:val="009D593E"/>
    <w:rsid w:val="009F1A0F"/>
    <w:rsid w:val="009F1DE0"/>
    <w:rsid w:val="00A0092F"/>
    <w:rsid w:val="00A21103"/>
    <w:rsid w:val="00A3243B"/>
    <w:rsid w:val="00A66622"/>
    <w:rsid w:val="00A71993"/>
    <w:rsid w:val="00A80E1E"/>
    <w:rsid w:val="00A8638B"/>
    <w:rsid w:val="00A97BC0"/>
    <w:rsid w:val="00AB1741"/>
    <w:rsid w:val="00AC4173"/>
    <w:rsid w:val="00AC6B7E"/>
    <w:rsid w:val="00AE361A"/>
    <w:rsid w:val="00AF5CCB"/>
    <w:rsid w:val="00B026A2"/>
    <w:rsid w:val="00B04291"/>
    <w:rsid w:val="00B269FA"/>
    <w:rsid w:val="00B5204D"/>
    <w:rsid w:val="00B81501"/>
    <w:rsid w:val="00B8345E"/>
    <w:rsid w:val="00BA2D61"/>
    <w:rsid w:val="00BC39F7"/>
    <w:rsid w:val="00BD07AE"/>
    <w:rsid w:val="00BE2B92"/>
    <w:rsid w:val="00BE6560"/>
    <w:rsid w:val="00BF76FA"/>
    <w:rsid w:val="00C01678"/>
    <w:rsid w:val="00C1683D"/>
    <w:rsid w:val="00C34E3C"/>
    <w:rsid w:val="00C434A6"/>
    <w:rsid w:val="00C52009"/>
    <w:rsid w:val="00C82F3D"/>
    <w:rsid w:val="00CA107F"/>
    <w:rsid w:val="00CD2BB0"/>
    <w:rsid w:val="00CD3022"/>
    <w:rsid w:val="00CD50D8"/>
    <w:rsid w:val="00CE1D06"/>
    <w:rsid w:val="00CF58C1"/>
    <w:rsid w:val="00CF706A"/>
    <w:rsid w:val="00D249B3"/>
    <w:rsid w:val="00D279B6"/>
    <w:rsid w:val="00D321FD"/>
    <w:rsid w:val="00D433BB"/>
    <w:rsid w:val="00D44A3E"/>
    <w:rsid w:val="00D4561A"/>
    <w:rsid w:val="00D5644E"/>
    <w:rsid w:val="00D6537F"/>
    <w:rsid w:val="00D72079"/>
    <w:rsid w:val="00D777EC"/>
    <w:rsid w:val="00D80227"/>
    <w:rsid w:val="00D95345"/>
    <w:rsid w:val="00DA0127"/>
    <w:rsid w:val="00DA4EA7"/>
    <w:rsid w:val="00DC6D6F"/>
    <w:rsid w:val="00DD6A71"/>
    <w:rsid w:val="00DD7D55"/>
    <w:rsid w:val="00DF204A"/>
    <w:rsid w:val="00DF75EB"/>
    <w:rsid w:val="00E178E4"/>
    <w:rsid w:val="00E500A8"/>
    <w:rsid w:val="00E507F2"/>
    <w:rsid w:val="00E66B0C"/>
    <w:rsid w:val="00EA0914"/>
    <w:rsid w:val="00EB7097"/>
    <w:rsid w:val="00EC4868"/>
    <w:rsid w:val="00EC5C54"/>
    <w:rsid w:val="00EC7053"/>
    <w:rsid w:val="00ED0290"/>
    <w:rsid w:val="00EF08CC"/>
    <w:rsid w:val="00EF1D24"/>
    <w:rsid w:val="00EF7FBE"/>
    <w:rsid w:val="00F25C29"/>
    <w:rsid w:val="00F25D46"/>
    <w:rsid w:val="00F97065"/>
    <w:rsid w:val="00FA06FD"/>
    <w:rsid w:val="00FD1BDC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FBF9B"/>
  <w15:chartTrackingRefBased/>
  <w15:docId w15:val="{12067C28-D70B-41A6-A332-D1926FF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1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40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0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0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7D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7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2AE5"/>
    <w:rPr>
      <w:b/>
      <w:bCs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D433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BB"/>
  </w:style>
  <w:style w:type="paragraph" w:styleId="Stopka">
    <w:name w:val="footer"/>
    <w:basedOn w:val="Normalny"/>
    <w:link w:val="StopkaZnak"/>
    <w:uiPriority w:val="99"/>
    <w:unhideWhenUsed/>
    <w:rsid w:val="00D43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3BB"/>
  </w:style>
  <w:style w:type="character" w:styleId="Hipercze">
    <w:name w:val="Hyperlink"/>
    <w:basedOn w:val="Domylnaczcionkaakapitu"/>
    <w:uiPriority w:val="99"/>
    <w:unhideWhenUsed/>
    <w:rsid w:val="003A46C6"/>
    <w:rPr>
      <w:color w:val="0563C1" w:themeColor="hyperlink"/>
      <w:u w:val="single"/>
    </w:rPr>
  </w:style>
  <w:style w:type="paragraph" w:customStyle="1" w:styleId="Default">
    <w:name w:val="Default"/>
    <w:rsid w:val="003A46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">
    <w:name w:val="Tekst"/>
    <w:basedOn w:val="Normalny"/>
    <w:link w:val="TekstZnak"/>
    <w:qFormat/>
    <w:rsid w:val="00217ED8"/>
    <w:pPr>
      <w:spacing w:after="60" w:line="360" w:lineRule="auto"/>
      <w:jc w:val="both"/>
    </w:pPr>
    <w:rPr>
      <w:rFonts w:ascii="Trebuchet MS" w:eastAsia="Calibri" w:hAnsi="Trebuchet MS" w:cs="Times New Roman"/>
    </w:rPr>
  </w:style>
  <w:style w:type="character" w:customStyle="1" w:styleId="TekstZnak">
    <w:name w:val="Tekst Znak"/>
    <w:basedOn w:val="Domylnaczcionkaakapitu"/>
    <w:link w:val="Tekst"/>
    <w:rsid w:val="00217ED8"/>
    <w:rPr>
      <w:rFonts w:ascii="Trebuchet MS" w:eastAsia="Calibri" w:hAnsi="Trebuchet MS" w:cs="Times New Roman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217ED8"/>
  </w:style>
  <w:style w:type="paragraph" w:styleId="Poprawka">
    <w:name w:val="Revision"/>
    <w:hidden/>
    <w:uiPriority w:val="99"/>
    <w:semiHidden/>
    <w:rsid w:val="00512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pp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lskacyfrowa.gov.pl/strony/o-programie/fundusze-europejskie-na-rozwoj-cyfrowy-2021-2027/zalozenia-do-nowego-program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unduszeeuropejskie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3147</Words>
  <Characters>18885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Jura</dc:creator>
  <cp:keywords/>
  <dc:description/>
  <cp:lastModifiedBy>Tomasz Abramczyk</cp:lastModifiedBy>
  <cp:revision>9</cp:revision>
  <dcterms:created xsi:type="dcterms:W3CDTF">2024-03-26T08:06:00Z</dcterms:created>
  <dcterms:modified xsi:type="dcterms:W3CDTF">2024-03-28T13:01:00Z</dcterms:modified>
</cp:coreProperties>
</file>