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0206" w14:textId="77777777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77196A48" w14:textId="77777777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34ED2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55073725" r:id="rId6"/>
        </w:obje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50F3EA6" w14:textId="77777777" w:rsidR="00D003E7" w:rsidRDefault="00D003E7" w:rsidP="00D003E7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54E32EC2" w14:textId="77777777" w:rsidR="00D003E7" w:rsidRDefault="00D003E7" w:rsidP="00D003E7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A85BB1E" w14:textId="77777777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6768444A" w14:textId="77777777" w:rsidR="00D003E7" w:rsidRPr="003A2803" w:rsidRDefault="00D003E7" w:rsidP="00D003E7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610B548" w14:textId="77777777" w:rsidR="00D003E7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6A07624C" w14:textId="5AFBBDB3" w:rsidR="00D003E7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lang w:eastAsia="hi-IN" w:bidi="hi-IN"/>
        </w:rPr>
        <w:t>01.09</w:t>
      </w:r>
      <w:r>
        <w:rPr>
          <w:rFonts w:ascii="Book Antiqua" w:hAnsi="Book Antiqua" w:cs="Tahoma"/>
          <w:kern w:val="2"/>
          <w:lang w:eastAsia="hi-IN" w:bidi="hi-IN"/>
        </w:rPr>
        <w:t>.2023 r.</w:t>
      </w:r>
    </w:p>
    <w:p w14:paraId="3852E0F7" w14:textId="77777777" w:rsidR="00D003E7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5E8D3806" w14:textId="77777777" w:rsidR="00D003E7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42C21299" w14:textId="3A4A89B7" w:rsidR="00D003E7" w:rsidRPr="003676EA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8"/>
          <w:szCs w:val="28"/>
          <w:lang w:eastAsia="hi-IN" w:bidi="hi-IN"/>
        </w:rPr>
      </w:pPr>
      <w:r w:rsidRPr="003676EA">
        <w:rPr>
          <w:rFonts w:ascii="Book Antiqua" w:hAnsi="Book Antiqua" w:cs="Book Antiqua"/>
          <w:b/>
          <w:bCs/>
          <w:lang w:eastAsia="pl-PL"/>
        </w:rPr>
        <w:t>UKW/DZP-282-ZO-51/2023</w:t>
      </w:r>
    </w:p>
    <w:p w14:paraId="2A505073" w14:textId="77777777" w:rsidR="00D003E7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</w:p>
    <w:p w14:paraId="662B0F96" w14:textId="5A51EBC9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>Odpowiedź na pytani</w:t>
      </w:r>
      <w:r>
        <w:rPr>
          <w:rFonts w:ascii="Book Antiqua" w:hAnsi="Book Antiqua"/>
          <w:b/>
          <w:kern w:val="2"/>
          <w:sz w:val="24"/>
          <w:szCs w:val="24"/>
          <w:lang w:eastAsia="hi-IN" w:bidi="hi-IN"/>
        </w:rPr>
        <w:t>a</w:t>
      </w: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 xml:space="preserve"> Wykonawc</w:t>
      </w:r>
      <w:r w:rsidR="004D1022">
        <w:rPr>
          <w:rFonts w:ascii="Book Antiqua" w:hAnsi="Book Antiqua"/>
          <w:b/>
          <w:kern w:val="2"/>
          <w:sz w:val="24"/>
          <w:szCs w:val="24"/>
          <w:lang w:eastAsia="hi-IN" w:bidi="hi-IN"/>
        </w:rPr>
        <w:t>y</w:t>
      </w:r>
    </w:p>
    <w:p w14:paraId="1D01D618" w14:textId="77777777" w:rsidR="00D003E7" w:rsidRPr="00F67B55" w:rsidRDefault="00D003E7" w:rsidP="00D003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6A7F2012" w14:textId="6ECF4048" w:rsidR="00D003E7" w:rsidRPr="003D54D9" w:rsidRDefault="00D003E7" w:rsidP="00D003E7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i/>
          <w:color w:val="000000"/>
          <w:kern w:val="2"/>
          <w:lang w:eastAsia="hi-IN" w:bidi="hi-IN"/>
        </w:rPr>
      </w:pP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Dotyczy: Zapytania ofertowego pn. „</w:t>
      </w:r>
      <w:r w:rsidRPr="003D54D9">
        <w:rPr>
          <w:rFonts w:ascii="Book Antiqua" w:hAnsi="Book Antiqua" w:cs="Book Antiqua"/>
          <w:i/>
          <w:iCs/>
          <w:lang w:eastAsia="pl-PL"/>
        </w:rPr>
        <w:t>Dostawa mikroskopów stereoskopowych na potrzeby UKW</w:t>
      </w: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”.</w:t>
      </w:r>
    </w:p>
    <w:p w14:paraId="29FE4C13" w14:textId="77777777" w:rsidR="00D003E7" w:rsidRPr="003D54D9" w:rsidRDefault="00D003E7" w:rsidP="00D003E7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lang w:eastAsia="hi-IN" w:bidi="hi-IN"/>
        </w:rPr>
      </w:pPr>
    </w:p>
    <w:p w14:paraId="1BB94035" w14:textId="035F2ADA" w:rsidR="00D003E7" w:rsidRPr="003D54D9" w:rsidRDefault="00D003E7" w:rsidP="00D003E7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lang w:eastAsia="pl-PL"/>
        </w:rPr>
      </w:pP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>że w postępowaniu pn. „</w:t>
      </w:r>
      <w:r w:rsidRPr="003D54D9">
        <w:rPr>
          <w:rFonts w:ascii="Book Antiqua" w:hAnsi="Book Antiqua"/>
        </w:rPr>
        <w:t>Dostawa mikroskopów stereoskopowych na potrzeby UKW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”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 xml:space="preserve">w dniu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>30.08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>.2023 r. wpłynęły pytania o następującej treści:</w:t>
      </w:r>
    </w:p>
    <w:p w14:paraId="2CE0F9C9" w14:textId="77777777" w:rsidR="00D003E7" w:rsidRPr="003D54D9" w:rsidRDefault="00D003E7" w:rsidP="00D003E7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4DDB6744" w14:textId="77777777" w:rsidR="00D003E7" w:rsidRPr="003D54D9" w:rsidRDefault="00D003E7" w:rsidP="00D003E7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</w:pPr>
      <w:r w:rsidRPr="003D54D9"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  <w:t xml:space="preserve">Pytanie 1 </w:t>
      </w:r>
    </w:p>
    <w:p w14:paraId="5228D43B" w14:textId="162AED69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lang w:eastAsia="hi-IN" w:bidi="hi-IN"/>
        </w:rPr>
        <w:t>C</w:t>
      </w:r>
      <w:r w:rsidRPr="003D54D9">
        <w:rPr>
          <w:rFonts w:ascii="Book Antiqua" w:hAnsi="Book Antiqua" w:cs="Tahoma"/>
          <w:kern w:val="2"/>
          <w:lang w:eastAsia="hi-IN" w:bidi="hi-IN"/>
        </w:rPr>
        <w:t xml:space="preserve">zy oferta z terminem realizacji krótszym </w:t>
      </w:r>
      <w:r w:rsidRPr="003D54D9">
        <w:rPr>
          <w:rFonts w:ascii="Book Antiqua" w:hAnsi="Book Antiqua" w:cs="Tahoma"/>
          <w:kern w:val="2"/>
          <w:lang w:eastAsia="hi-IN" w:bidi="hi-IN"/>
        </w:rPr>
        <w:t>niż</w:t>
      </w:r>
      <w:r w:rsidRPr="003D54D9">
        <w:rPr>
          <w:rFonts w:ascii="Book Antiqua" w:hAnsi="Book Antiqua" w:cs="Tahoma"/>
          <w:kern w:val="2"/>
          <w:lang w:eastAsia="hi-IN" w:bidi="hi-IN"/>
        </w:rPr>
        <w:t xml:space="preserve"> 7 dni kalendarzowych w związku z zapisem - "Minimalny termin realizacji zamówienia to 7 dni kalendarzowych, a maksymalny termin realizacji zamówienia to 14 dni kalendarzowych liczony od dnia przesłania zlecenia. Wykonawca, który złoży ofertę z najkrótszym terminem realizacji zamówienia otrzyma w tym kryterium 20 pkt" - zostanie odrzucona?</w:t>
      </w:r>
    </w:p>
    <w:p w14:paraId="765DC07D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0362AF22" w14:textId="74FBAE61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u w:val="single"/>
          <w:lang w:eastAsia="hi-IN" w:bidi="hi-IN"/>
        </w:rPr>
        <w:t xml:space="preserve">Odp. </w:t>
      </w:r>
    </w:p>
    <w:p w14:paraId="7BE55AB4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3C630AD1" w14:textId="65192B3A" w:rsidR="00CF1D49" w:rsidRPr="003D54D9" w:rsidRDefault="003D54D9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>Oferta z terminem krótszym niż 7 dni kalendarzowych zostanie odrzucona z</w:t>
      </w:r>
      <w:r w:rsidR="00CF1D49" w:rsidRPr="003D54D9">
        <w:rPr>
          <w:rFonts w:ascii="Book Antiqua" w:hAnsi="Book Antiqua" w:cs="Tahoma"/>
          <w:kern w:val="2"/>
          <w:lang w:eastAsia="hi-IN" w:bidi="hi-IN"/>
        </w:rPr>
        <w:t xml:space="preserve">godnie z pkt 8 zapytania ofertowego </w:t>
      </w:r>
      <w:r>
        <w:rPr>
          <w:rFonts w:ascii="Book Antiqua" w:hAnsi="Book Antiqua" w:cs="Tahoma"/>
          <w:kern w:val="2"/>
          <w:lang w:eastAsia="hi-IN" w:bidi="hi-IN"/>
        </w:rPr>
        <w:t xml:space="preserve">tj. </w:t>
      </w:r>
      <w:r w:rsidR="00CF1D49" w:rsidRPr="003D54D9">
        <w:rPr>
          <w:rFonts w:ascii="Book Antiqua" w:hAnsi="Book Antiqua" w:cs="Tahoma"/>
          <w:kern w:val="2"/>
          <w:lang w:eastAsia="hi-IN" w:bidi="hi-IN"/>
        </w:rPr>
        <w:t>„</w:t>
      </w:r>
      <w:r w:rsidR="00CF1D49" w:rsidRPr="003D54D9">
        <w:rPr>
          <w:rFonts w:ascii="Book Antiqua" w:hAnsi="Book Antiqua" w:cs="Tahoma"/>
          <w:kern w:val="2"/>
          <w:lang w:eastAsia="hi-IN" w:bidi="hi-IN"/>
        </w:rPr>
        <w:t>Oferta nie może być opatrzona terminem realizacji zamówienia  innym niż z podanego zakresu gdyż będzie niezgodna z Zapytaniem ofertowym i zostanie odrzucona.</w:t>
      </w:r>
      <w:r w:rsidR="00CF1D49" w:rsidRPr="003D54D9">
        <w:rPr>
          <w:rFonts w:ascii="Book Antiqua" w:hAnsi="Book Antiqua" w:cs="Tahoma"/>
          <w:kern w:val="2"/>
          <w:lang w:eastAsia="hi-IN" w:bidi="hi-IN"/>
        </w:rPr>
        <w:t>”</w:t>
      </w:r>
    </w:p>
    <w:p w14:paraId="4E214B29" w14:textId="0B15F879" w:rsidR="00CF1D49" w:rsidRPr="003D54D9" w:rsidRDefault="00CF1D49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26F9C56B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57175A75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b/>
          <w:kern w:val="2"/>
          <w:lang w:eastAsia="hi-IN" w:bidi="hi-IN"/>
        </w:rPr>
      </w:pPr>
      <w:r w:rsidRPr="003D54D9">
        <w:rPr>
          <w:rFonts w:ascii="Book Antiqua" w:hAnsi="Book Antiqua" w:cs="Tahoma"/>
          <w:b/>
          <w:kern w:val="2"/>
          <w:lang w:eastAsia="hi-IN" w:bidi="hi-IN"/>
        </w:rPr>
        <w:t>Pytanie 2</w:t>
      </w:r>
    </w:p>
    <w:p w14:paraId="35F62A5F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6B9519D2" w14:textId="559D3C61" w:rsidR="00D003E7" w:rsidRPr="003D54D9" w:rsidRDefault="00CF1D49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D54D9">
        <w:rPr>
          <w:rFonts w:ascii="Book Antiqua" w:hAnsi="Book Antiqua" w:cs="Tahoma"/>
          <w:kern w:val="2"/>
          <w:lang w:eastAsia="hi-IN" w:bidi="hi-IN"/>
        </w:rPr>
        <w:t>Cz</w:t>
      </w:r>
      <w:r w:rsidRPr="003D54D9">
        <w:rPr>
          <w:rFonts w:ascii="Book Antiqua" w:hAnsi="Book Antiqua" w:cs="Tahoma"/>
          <w:kern w:val="2"/>
          <w:lang w:eastAsia="hi-IN" w:bidi="hi-IN"/>
        </w:rPr>
        <w:t>y Zamawiający oczekuje, że Oferent zaproponuje termin realizacji krótszy niż 7 dni?</w:t>
      </w:r>
    </w:p>
    <w:p w14:paraId="520C7CEE" w14:textId="77777777" w:rsidR="00D003E7" w:rsidRPr="003D54D9" w:rsidRDefault="00D003E7" w:rsidP="00D003E7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lang w:eastAsia="hi-IN" w:bidi="hi-IN"/>
        </w:rPr>
      </w:pPr>
    </w:p>
    <w:p w14:paraId="4421A92D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u w:val="single"/>
          <w:lang w:eastAsia="hi-IN" w:bidi="hi-IN"/>
        </w:rPr>
        <w:t xml:space="preserve">Odp. </w:t>
      </w:r>
    </w:p>
    <w:p w14:paraId="5A6400B5" w14:textId="023CE5A0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7541EB7C" w14:textId="70A42AF6" w:rsidR="003D54D9" w:rsidRPr="003D54D9" w:rsidRDefault="003D54D9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D54D9">
        <w:rPr>
          <w:rFonts w:ascii="Book Antiqua" w:hAnsi="Book Antiqua" w:cs="Tahoma"/>
          <w:kern w:val="2"/>
          <w:lang w:eastAsia="hi-IN" w:bidi="hi-IN"/>
        </w:rPr>
        <w:t xml:space="preserve">Zamawiający wymaga podania terminu realizacji zgodnego z zakresem wskazanym w treści zapytania ofertowego tj. z zakresu od 7 do 14 dni kalendarzowych. </w:t>
      </w:r>
    </w:p>
    <w:p w14:paraId="3600386C" w14:textId="77777777" w:rsidR="00D003E7" w:rsidRPr="003D54D9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330CE2A8" w14:textId="77777777" w:rsidR="003D54D9" w:rsidRDefault="003D54D9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lang w:eastAsia="hi-IN" w:bidi="hi-IN"/>
        </w:rPr>
      </w:pPr>
    </w:p>
    <w:p w14:paraId="41816711" w14:textId="119C44ED" w:rsidR="00D003E7" w:rsidRPr="003D54D9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lang w:eastAsia="hi-IN" w:bidi="hi-IN"/>
        </w:rPr>
      </w:pPr>
      <w:r w:rsidRPr="003D54D9">
        <w:rPr>
          <w:rFonts w:ascii="Book Antiqua" w:hAnsi="Book Antiqua" w:cs="Tahoma"/>
          <w:b/>
          <w:kern w:val="2"/>
          <w:lang w:eastAsia="hi-IN" w:bidi="hi-IN"/>
        </w:rPr>
        <w:lastRenderedPageBreak/>
        <w:t>Pytanie 3</w:t>
      </w:r>
    </w:p>
    <w:p w14:paraId="1C5BDD3B" w14:textId="77777777" w:rsidR="00D003E7" w:rsidRPr="003D54D9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lang w:eastAsia="hi-IN" w:bidi="hi-IN"/>
        </w:rPr>
      </w:pPr>
    </w:p>
    <w:p w14:paraId="200D0932" w14:textId="34AB4AC4" w:rsidR="00D003E7" w:rsidRPr="003D54D9" w:rsidRDefault="003D54D9" w:rsidP="003D54D9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  <w:kern w:val="2"/>
          <w:lang w:eastAsia="hi-IN" w:bidi="hi-IN"/>
        </w:rPr>
      </w:pPr>
      <w:r w:rsidRPr="003D54D9">
        <w:rPr>
          <w:rFonts w:ascii="Book Antiqua" w:hAnsi="Book Antiqua" w:cs="Tahoma"/>
          <w:kern w:val="2"/>
          <w:lang w:eastAsia="hi-IN" w:bidi="hi-IN"/>
        </w:rPr>
        <w:t>C</w:t>
      </w:r>
      <w:r w:rsidRPr="003D54D9">
        <w:rPr>
          <w:rFonts w:ascii="Book Antiqua" w:hAnsi="Book Antiqua" w:cs="Tahoma"/>
          <w:kern w:val="2"/>
          <w:lang w:eastAsia="hi-IN" w:bidi="hi-IN"/>
        </w:rPr>
        <w:t>zy Zamawiający dopuści mikroskop bez możliwości zabezpieczenia okularów wkrętami przed nieuprawnionym wyjęciem? Model mikroskopu z taką blokadą nie jest już produkowany.</w:t>
      </w:r>
    </w:p>
    <w:p w14:paraId="2A5FFF2C" w14:textId="77777777" w:rsidR="003D54D9" w:rsidRPr="003D54D9" w:rsidRDefault="003D54D9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2F2681BB" w14:textId="77777777" w:rsidR="00D003E7" w:rsidRPr="003D54D9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Cs w:val="24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szCs w:val="24"/>
          <w:u w:val="single"/>
          <w:lang w:eastAsia="hi-IN" w:bidi="hi-IN"/>
        </w:rPr>
        <w:t xml:space="preserve">Odp. </w:t>
      </w:r>
    </w:p>
    <w:p w14:paraId="734BB01B" w14:textId="77777777" w:rsidR="00D003E7" w:rsidRPr="003D54D9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2FE80AE4" w14:textId="341E8525" w:rsidR="00D003E7" w:rsidRPr="003D54D9" w:rsidRDefault="00CF1D49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  <w:r w:rsidRPr="003D54D9">
        <w:rPr>
          <w:rFonts w:ascii="Book Antiqua" w:hAnsi="Book Antiqua" w:cs="Tahoma"/>
          <w:kern w:val="2"/>
          <w:sz w:val="24"/>
          <w:szCs w:val="24"/>
          <w:lang w:eastAsia="hi-IN" w:bidi="hi-IN"/>
        </w:rPr>
        <w:t>Zamawiający zmodyfikuje zapytanie ofertowe we wskazanym zakresie.</w:t>
      </w:r>
    </w:p>
    <w:p w14:paraId="09D95A2D" w14:textId="77777777" w:rsidR="00D003E7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53D6D14D" w14:textId="77777777" w:rsidR="003D54D9" w:rsidRDefault="003D54D9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72652086" w14:textId="10602778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  <w:r w:rsidRPr="006A3995"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  <w:t>INFORMACJA O MODYFIKACJI TREŚCI ZAPYTANIA OFERTOWEGO</w:t>
      </w:r>
    </w:p>
    <w:p w14:paraId="2C9DAD04" w14:textId="77777777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38034181" w14:textId="77777777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6FF4BD8A" w14:textId="32FFA3B1" w:rsidR="00D003E7" w:rsidRPr="003676EA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676EA">
        <w:rPr>
          <w:rFonts w:ascii="Book Antiqua" w:hAnsi="Book Antiqua" w:cs="Tahoma"/>
          <w:kern w:val="2"/>
          <w:lang w:eastAsia="hi-IN" w:bidi="hi-IN"/>
        </w:rPr>
        <w:t>Uniwersytet Kazimierza Wielkiego w Bydgoszczy informuje, że w postępowaniu pn. „</w:t>
      </w:r>
      <w:r w:rsidR="003676EA" w:rsidRPr="003676EA">
        <w:rPr>
          <w:rFonts w:ascii="Book Antiqua" w:hAnsi="Book Antiqua"/>
          <w:i/>
        </w:rPr>
        <w:t>Dostawa mikroskopów stereoskopowych na potrzeby UKW</w:t>
      </w:r>
      <w:r w:rsidRPr="003676EA">
        <w:rPr>
          <w:rFonts w:ascii="Book Antiqua" w:hAnsi="Book Antiqua" w:cs="Tahoma"/>
          <w:kern w:val="2"/>
          <w:lang w:eastAsia="hi-IN" w:bidi="hi-IN"/>
        </w:rPr>
        <w:t>” dokonuje modyfikacji treści zapytania ofertowego w następującym zakresie:</w:t>
      </w:r>
    </w:p>
    <w:p w14:paraId="1B184282" w14:textId="77777777" w:rsidR="00D003E7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0CBC33F2" w14:textId="3A5A9932" w:rsidR="00D003E7" w:rsidRPr="003676EA" w:rsidRDefault="003676EA" w:rsidP="003676EA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676EA">
        <w:rPr>
          <w:rFonts w:ascii="Book Antiqua" w:hAnsi="Book Antiqua" w:cs="Tahoma"/>
          <w:kern w:val="2"/>
          <w:lang w:eastAsia="hi-IN" w:bidi="hi-IN"/>
        </w:rPr>
        <w:t>1.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 w:rsidRPr="003676EA">
        <w:rPr>
          <w:rFonts w:ascii="Book Antiqua" w:hAnsi="Book Antiqua" w:cs="Tahoma"/>
          <w:b/>
          <w:bCs/>
          <w:kern w:val="2"/>
          <w:lang w:eastAsia="hi-IN" w:bidi="hi-IN"/>
        </w:rPr>
        <w:t>Załącznik nr 2,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>
        <w:rPr>
          <w:rFonts w:ascii="Book Antiqua" w:hAnsi="Book Antiqua" w:cs="Tahoma"/>
          <w:b/>
          <w:kern w:val="2"/>
          <w:lang w:eastAsia="hi-IN" w:bidi="hi-IN"/>
        </w:rPr>
        <w:t>Formularz cenowy:</w:t>
      </w:r>
    </w:p>
    <w:p w14:paraId="2B217FAA" w14:textId="77777777" w:rsidR="00D003E7" w:rsidRDefault="00D003E7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05CB15F9" w14:textId="33973E32" w:rsidR="00F94AAB" w:rsidRPr="00F94AAB" w:rsidRDefault="00F94AAB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F94AAB">
        <w:rPr>
          <w:rFonts w:ascii="Book Antiqua" w:hAnsi="Book Antiqua" w:cs="Tahoma"/>
          <w:kern w:val="2"/>
          <w:u w:val="single"/>
          <w:lang w:eastAsia="hi-IN" w:bidi="hi-IN"/>
        </w:rPr>
        <w:t>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AAB" w14:paraId="7BEFC460" w14:textId="77777777" w:rsidTr="00F94AAB">
        <w:tc>
          <w:tcPr>
            <w:tcW w:w="9062" w:type="dxa"/>
          </w:tcPr>
          <w:p w14:paraId="0C7ADB0D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Mikroskop stereoskopowy binokularowy, </w:t>
            </w:r>
          </w:p>
          <w:p w14:paraId="6032374B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oświetlacz – LED do obserwacji w świetle przechodzącym i odbitym,</w:t>
            </w:r>
          </w:p>
          <w:p w14:paraId="01803395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regulacja rozstawu źrenic w zakresie 52-75 mm,</w:t>
            </w:r>
          </w:p>
          <w:p w14:paraId="2E478DDB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odległość robocza min. 97 mm,</w:t>
            </w:r>
          </w:p>
          <w:p w14:paraId="0A19E347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- regulacja </w:t>
            </w:r>
            <w:proofErr w:type="spellStart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dioptryjna</w:t>
            </w:r>
            <w:proofErr w:type="spellEnd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 niezależna w każdym tubusie okularowym,</w:t>
            </w:r>
          </w:p>
          <w:p w14:paraId="1E30DC2C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regulacja ostrości: makro,</w:t>
            </w:r>
          </w:p>
          <w:p w14:paraId="537B36BF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głowica binokularowa,</w:t>
            </w:r>
          </w:p>
          <w:p w14:paraId="38F02CC5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nasadka binokularowa, pochylenie 45º,</w:t>
            </w:r>
          </w:p>
          <w:p w14:paraId="70F24899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podwójne pokrętła regulacji ostrości,</w:t>
            </w:r>
          </w:p>
          <w:p w14:paraId="19D7F6EB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zakres powiększenia przy standardowym wyposażeniu 10x-45x,</w:t>
            </w:r>
          </w:p>
          <w:p w14:paraId="0D28470D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okulary o powiększeniu 10x i polu widzenia min. 20 mm,</w:t>
            </w:r>
          </w:p>
          <w:p w14:paraId="5D3A819B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współczynnik powiększenia (zoom) 1:4,5,</w:t>
            </w:r>
          </w:p>
          <w:p w14:paraId="288B06E1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odległość robocza min. 97 mm,</w:t>
            </w:r>
          </w:p>
          <w:p w14:paraId="7893AAF8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możliwość zabezpieczenia okularów wkrętami przed nieuprawnionym wyjęciem,</w:t>
            </w:r>
          </w:p>
          <w:p w14:paraId="5412E600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zakres płynnej zmiany powiększenia (zoom),</w:t>
            </w:r>
          </w:p>
          <w:p w14:paraId="740E7C37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 - niezależna regulacja jasności oświetlacza górnego i dolnego,</w:t>
            </w:r>
          </w:p>
          <w:p w14:paraId="6AC05199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możliwość ustawienia górnego oświetlacza pod różnymi kątami,</w:t>
            </w:r>
          </w:p>
          <w:p w14:paraId="6F075217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- pokrowiec </w:t>
            </w:r>
            <w:proofErr w:type="spellStart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przeciwkurzowy</w:t>
            </w:r>
            <w:proofErr w:type="spellEnd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06E531B2" w14:textId="77777777" w:rsidR="00F94AAB" w:rsidRPr="00F94AAB" w:rsidRDefault="00F94AAB" w:rsidP="00F94AAB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Instrukcja w języku polskim</w:t>
            </w:r>
          </w:p>
          <w:p w14:paraId="125C59DA" w14:textId="21B03E86" w:rsidR="00F94AAB" w:rsidRDefault="00F94AAB" w:rsidP="00F94AAB">
            <w:pPr>
              <w:widowControl w:val="0"/>
              <w:suppressAutoHyphens/>
              <w:spacing w:after="0"/>
              <w:jc w:val="both"/>
              <w:rPr>
                <w:rFonts w:ascii="Book Antiqua" w:hAnsi="Book Antiqua" w:cs="Tahoma"/>
                <w:kern w:val="2"/>
                <w:lang w:eastAsia="hi-IN" w:bidi="hi-IN"/>
              </w:rPr>
            </w:pPr>
            <w:r w:rsidRPr="00F94AAB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Delta Optical SZ-450B lub równoważne</w:t>
            </w:r>
          </w:p>
        </w:tc>
      </w:tr>
    </w:tbl>
    <w:p w14:paraId="4C39DCE1" w14:textId="77777777" w:rsidR="00F94AAB" w:rsidRDefault="00F94AAB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0FF8A888" w14:textId="6D31470A" w:rsidR="00F94AAB" w:rsidRDefault="00F94AAB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F94AAB">
        <w:rPr>
          <w:rFonts w:ascii="Book Antiqua" w:hAnsi="Book Antiqua" w:cs="Tahoma"/>
          <w:kern w:val="2"/>
          <w:u w:val="single"/>
          <w:lang w:eastAsia="hi-IN" w:bidi="hi-IN"/>
        </w:rPr>
        <w:lastRenderedPageBreak/>
        <w:t>Powinno być:</w:t>
      </w:r>
    </w:p>
    <w:p w14:paraId="167F43DF" w14:textId="2B5B7198" w:rsidR="00F94AAB" w:rsidRDefault="00F94AAB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BA1" w14:paraId="421F52B2" w14:textId="77777777" w:rsidTr="0091508F">
        <w:tc>
          <w:tcPr>
            <w:tcW w:w="9062" w:type="dxa"/>
          </w:tcPr>
          <w:p w14:paraId="3D472405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Mikroskop stereoskopowy binokularowy, </w:t>
            </w:r>
          </w:p>
          <w:p w14:paraId="6D3D96BA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oświetlacz – LED do obserwacji w świetle przechodzącym i odbitym,</w:t>
            </w:r>
          </w:p>
          <w:p w14:paraId="6ECC3F46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regulacja rozstawu źrenic w zakresie 52-75 mm,</w:t>
            </w:r>
          </w:p>
          <w:p w14:paraId="2CA45B3D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odległość robocza min. 97 mm,</w:t>
            </w:r>
          </w:p>
          <w:p w14:paraId="384D01E9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- regulacja </w:t>
            </w:r>
            <w:proofErr w:type="spellStart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dioptryjna</w:t>
            </w:r>
            <w:proofErr w:type="spellEnd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 niezależna w każdym tubusie okularowym,</w:t>
            </w:r>
          </w:p>
          <w:p w14:paraId="7D4F1DCF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regulacja ostrości: makro,</w:t>
            </w:r>
          </w:p>
          <w:p w14:paraId="5F378A0E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głowica binokularowa,</w:t>
            </w:r>
          </w:p>
          <w:p w14:paraId="70B81EAA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nasadka binokularowa, pochylenie 45º,</w:t>
            </w:r>
          </w:p>
          <w:p w14:paraId="627D48F5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podwójne pokrętła regulacji ostrości,</w:t>
            </w:r>
          </w:p>
          <w:p w14:paraId="7B64B9BD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zakres powiększenia przy standardowym wyposażeniu 10x-45x,</w:t>
            </w:r>
          </w:p>
          <w:p w14:paraId="62368696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okulary o powiększeniu 10x i polu widzenia min. 20 mm,</w:t>
            </w:r>
          </w:p>
          <w:p w14:paraId="60D61D4E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współczynnik powiększenia (zoom) 1:4,5,</w:t>
            </w:r>
          </w:p>
          <w:p w14:paraId="112F19FF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odległość robocza min. 97 mm,</w:t>
            </w:r>
          </w:p>
          <w:p w14:paraId="778D7841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zakres płynnej zmiany powiększenia (zoom),</w:t>
            </w:r>
          </w:p>
          <w:p w14:paraId="094B45EF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 - niezależna regulacja jasności oświetlacza górnego i dolnego,</w:t>
            </w:r>
          </w:p>
          <w:p w14:paraId="27C6A017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możliwość ustawienia górnego oświetlacza pod różnymi kątami,</w:t>
            </w:r>
          </w:p>
          <w:p w14:paraId="09F86A06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 xml:space="preserve">- pokrowiec </w:t>
            </w:r>
            <w:proofErr w:type="spellStart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przeciwkurzowy</w:t>
            </w:r>
            <w:proofErr w:type="spellEnd"/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1A082F97" w14:textId="77777777" w:rsidR="009C5BA1" w:rsidRPr="00F94AAB" w:rsidRDefault="009C5BA1" w:rsidP="0091508F">
            <w:pPr>
              <w:spacing w:after="0" w:line="360" w:lineRule="auto"/>
              <w:jc w:val="both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F94AAB"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eastAsia="pl-PL"/>
              </w:rPr>
              <w:t>- Instrukcja w języku polskim</w:t>
            </w:r>
          </w:p>
          <w:p w14:paraId="47166B4D" w14:textId="77777777" w:rsidR="009C5BA1" w:rsidRDefault="009C5BA1" w:rsidP="0091508F">
            <w:pPr>
              <w:widowControl w:val="0"/>
              <w:suppressAutoHyphens/>
              <w:spacing w:after="0"/>
              <w:jc w:val="both"/>
              <w:rPr>
                <w:rFonts w:ascii="Book Antiqua" w:hAnsi="Book Antiqua" w:cs="Tahoma"/>
                <w:kern w:val="2"/>
                <w:lang w:eastAsia="hi-IN" w:bidi="hi-IN"/>
              </w:rPr>
            </w:pPr>
            <w:r w:rsidRPr="00F94AAB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Delta Optical SZ-450B lub równoważne</w:t>
            </w:r>
          </w:p>
        </w:tc>
      </w:tr>
    </w:tbl>
    <w:p w14:paraId="6E2194CE" w14:textId="195692B5" w:rsidR="00F94AAB" w:rsidRDefault="00F94AAB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2786F843" w14:textId="77777777" w:rsidR="00F94AAB" w:rsidRPr="00F94AAB" w:rsidRDefault="00F94AAB" w:rsidP="00D003E7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5D2D0160" w14:textId="73F64FE1" w:rsidR="00F94AAB" w:rsidRPr="00F94AAB" w:rsidRDefault="00F94AAB" w:rsidP="00F94AAB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F94AAB">
        <w:rPr>
          <w:rFonts w:ascii="Book Antiqua" w:hAnsi="Book Antiqua" w:cs="Tahoma"/>
          <w:kern w:val="2"/>
          <w:lang w:eastAsia="hi-IN" w:bidi="hi-IN"/>
        </w:rPr>
        <w:t xml:space="preserve">Jednocześnie w związku z czasem niezbędnym do przygotowania oferty Zamawiający modyfikuje treść zapytania ofertowego  w zakresie   przesunięcia  terminu   składania ofert na dzień </w:t>
      </w:r>
      <w:r>
        <w:rPr>
          <w:rFonts w:ascii="Book Antiqua" w:hAnsi="Book Antiqua" w:cs="Tahoma"/>
          <w:kern w:val="2"/>
          <w:lang w:eastAsia="hi-IN" w:bidi="hi-IN"/>
        </w:rPr>
        <w:t>05.09.2023</w:t>
      </w:r>
      <w:r w:rsidRPr="00F94AAB">
        <w:rPr>
          <w:rFonts w:ascii="Book Antiqua" w:hAnsi="Book Antiqua" w:cs="Tahoma"/>
          <w:kern w:val="2"/>
          <w:lang w:eastAsia="hi-IN" w:bidi="hi-IN"/>
        </w:rPr>
        <w:t xml:space="preserve"> r. godz. 10:00.</w:t>
      </w:r>
    </w:p>
    <w:p w14:paraId="229A9585" w14:textId="77777777" w:rsidR="00F94AAB" w:rsidRPr="00F94AAB" w:rsidRDefault="00F94AAB" w:rsidP="00F94AAB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1F66DA66" w14:textId="77777777" w:rsidR="00F94AAB" w:rsidRPr="00F94AAB" w:rsidRDefault="00F94AAB" w:rsidP="00F94AAB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1FB5079D" w14:textId="47D52EAE" w:rsidR="00D003E7" w:rsidRDefault="00F94AAB" w:rsidP="00F94AAB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F94AAB">
        <w:rPr>
          <w:rFonts w:ascii="Book Antiqua" w:hAnsi="Book Antiqua" w:cs="Tahoma"/>
          <w:kern w:val="2"/>
          <w:lang w:eastAsia="hi-IN" w:bidi="hi-IN"/>
        </w:rPr>
        <w:t>Zmodyfikowana treść zapytania ofertowego stanowi załącznik do niniejszego pisma.</w:t>
      </w:r>
      <w:r w:rsidR="00D003E7" w:rsidRPr="00EF0F2F">
        <w:rPr>
          <w:rFonts w:ascii="Book Antiqua" w:hAnsi="Book Antiqua" w:cs="Tahoma"/>
          <w:kern w:val="2"/>
          <w:lang w:eastAsia="hi-IN" w:bidi="hi-IN"/>
        </w:rPr>
        <w:t>.</w:t>
      </w:r>
    </w:p>
    <w:p w14:paraId="7EF1E487" w14:textId="77777777" w:rsidR="00D003E7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20D90EB9" w14:textId="77777777" w:rsidR="00D003E7" w:rsidRDefault="00D003E7" w:rsidP="00D003E7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42169677" w14:textId="77777777" w:rsidR="00D003E7" w:rsidRPr="00CB178E" w:rsidRDefault="00D003E7" w:rsidP="00D003E7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7797231A" w14:textId="77777777" w:rsidR="00D003E7" w:rsidRPr="004A2B9A" w:rsidRDefault="00D003E7" w:rsidP="00D003E7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lang w:eastAsia="hi-IN" w:bidi="hi-IN"/>
        </w:rPr>
      </w:pPr>
      <w:r w:rsidRPr="004A2B9A">
        <w:rPr>
          <w:rFonts w:ascii="Book Antiqua" w:hAnsi="Book Antiqua" w:cs="Tahoma"/>
          <w:b/>
          <w:kern w:val="2"/>
          <w:lang w:eastAsia="hi-IN" w:bidi="hi-IN"/>
        </w:rPr>
        <w:t>Kanclerz</w:t>
      </w:r>
    </w:p>
    <w:p w14:paraId="7C2A8E68" w14:textId="77777777" w:rsidR="00D003E7" w:rsidRPr="004A2B9A" w:rsidRDefault="00D003E7" w:rsidP="00D003E7">
      <w:pPr>
        <w:widowControl w:val="0"/>
        <w:suppressAutoHyphens/>
        <w:spacing w:after="0" w:line="240" w:lineRule="auto"/>
        <w:jc w:val="right"/>
      </w:pPr>
      <w:r w:rsidRPr="004A2B9A">
        <w:rPr>
          <w:rFonts w:ascii="Book Antiqua" w:hAnsi="Book Antiqua" w:cs="Tahoma"/>
          <w:b/>
          <w:kern w:val="2"/>
          <w:lang w:eastAsia="hi-IN" w:bidi="hi-IN"/>
        </w:rPr>
        <w:t>mgr Renata Malak</w:t>
      </w:r>
    </w:p>
    <w:p w14:paraId="6707DF71" w14:textId="77777777" w:rsidR="00603B24" w:rsidRPr="004A2B9A" w:rsidRDefault="00603B24"/>
    <w:sectPr w:rsidR="00603B24" w:rsidRPr="004A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6A4"/>
    <w:multiLevelType w:val="hybridMultilevel"/>
    <w:tmpl w:val="EA00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E7"/>
    <w:rsid w:val="003676EA"/>
    <w:rsid w:val="003D54D9"/>
    <w:rsid w:val="004A1729"/>
    <w:rsid w:val="004A2B9A"/>
    <w:rsid w:val="004D1022"/>
    <w:rsid w:val="00603B24"/>
    <w:rsid w:val="00665095"/>
    <w:rsid w:val="009C5BA1"/>
    <w:rsid w:val="00CF1D49"/>
    <w:rsid w:val="00D003E7"/>
    <w:rsid w:val="00F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05F58C"/>
  <w15:chartTrackingRefBased/>
  <w15:docId w15:val="{50DDC51D-951A-4F4B-95C1-BF2BC8F3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A1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03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76EA"/>
    <w:pPr>
      <w:ind w:left="720"/>
      <w:contextualSpacing/>
    </w:pPr>
  </w:style>
  <w:style w:type="table" w:styleId="Tabela-Siatka">
    <w:name w:val="Table Grid"/>
    <w:basedOn w:val="Standardowy"/>
    <w:uiPriority w:val="39"/>
    <w:rsid w:val="00F9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2023-09-01T09:38:00Z</cp:lastPrinted>
  <dcterms:created xsi:type="dcterms:W3CDTF">2023-09-01T07:03:00Z</dcterms:created>
  <dcterms:modified xsi:type="dcterms:W3CDTF">2023-09-01T09:42:00Z</dcterms:modified>
</cp:coreProperties>
</file>