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E" w:rsidRPr="005306EE" w:rsidRDefault="005306EE" w:rsidP="005306EE">
      <w:pPr>
        <w:autoSpaceDE w:val="0"/>
        <w:autoSpaceDN w:val="0"/>
        <w:spacing w:before="120" w:after="0" w:line="240" w:lineRule="auto"/>
        <w:ind w:left="6381"/>
        <w:jc w:val="both"/>
        <w:rPr>
          <w:rFonts w:ascii="Century Gothic" w:hAnsi="Century Gothic" w:cs="Arial"/>
        </w:rPr>
      </w:pPr>
      <w:r w:rsidRPr="005306EE">
        <w:rPr>
          <w:rFonts w:ascii="Century Gothic" w:hAnsi="Century Gothic" w:cs="Arial"/>
          <w:i/>
        </w:rPr>
        <w:t>Załącznik nr 1 do SIWZ</w:t>
      </w:r>
    </w:p>
    <w:p w:rsidR="005306EE" w:rsidRPr="005306EE" w:rsidRDefault="005306EE" w:rsidP="005306EE">
      <w:pPr>
        <w:suppressAutoHyphens/>
        <w:spacing w:after="60" w:line="240" w:lineRule="auto"/>
        <w:jc w:val="center"/>
        <w:rPr>
          <w:rFonts w:ascii="Century Gothic" w:hAnsi="Century Gothic" w:cs="Arial"/>
          <w:b/>
        </w:rPr>
      </w:pPr>
    </w:p>
    <w:p w:rsidR="005306EE" w:rsidRPr="005306EE" w:rsidRDefault="005306EE" w:rsidP="005306EE">
      <w:pPr>
        <w:suppressAutoHyphens/>
        <w:spacing w:after="60" w:line="240" w:lineRule="auto"/>
        <w:jc w:val="center"/>
        <w:rPr>
          <w:rFonts w:ascii="Century Gothic" w:eastAsia="Times New Roman" w:hAnsi="Century Gothic" w:cs="Arial"/>
          <w:b/>
          <w:bCs/>
          <w:lang w:eastAsia="pl-PL"/>
        </w:rPr>
      </w:pPr>
      <w:r w:rsidRPr="005306EE">
        <w:rPr>
          <w:rFonts w:ascii="Century Gothic" w:hAnsi="Century Gothic" w:cs="Arial"/>
          <w:b/>
        </w:rPr>
        <w:t>Szczegółowy opis przedmiotu zamówienia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hAnsi="Century Gothic" w:cs="Arial"/>
        </w:rPr>
      </w:pPr>
    </w:p>
    <w:p w:rsidR="005306EE" w:rsidRPr="005306EE" w:rsidRDefault="005306EE" w:rsidP="005306EE">
      <w:pPr>
        <w:spacing w:after="0" w:line="360" w:lineRule="auto"/>
        <w:jc w:val="both"/>
        <w:rPr>
          <w:rFonts w:ascii="Century Gothic" w:hAnsi="Century Gothic" w:cs="Arial"/>
        </w:rPr>
      </w:pPr>
      <w:r w:rsidRPr="005306EE">
        <w:rPr>
          <w:rFonts w:ascii="Century Gothic" w:hAnsi="Century Gothic" w:cs="Arial"/>
        </w:rPr>
        <w:t xml:space="preserve">Przedmiotem zamówienia jest dostawa przełączników sieciowych mająca na celu rozbudowę infrastruktury sieciowej w Agencji Rezerw Materiałowych. W rozbudowie infrastruktury Zamawiający zamierza wykorzystywać posiadane już przez niego komponenty, stąd wymaganie, żeby oferowane urządzenia były kompatybilne z tymi komponentami, w szczególności z systemem Cisco Identity Services Engine (ISE), przełącznikami Cisco </w:t>
      </w:r>
      <w:proofErr w:type="spellStart"/>
      <w:r w:rsidRPr="005306EE">
        <w:rPr>
          <w:rFonts w:ascii="Century Gothic" w:hAnsi="Century Gothic" w:cs="Arial"/>
        </w:rPr>
        <w:t>Catalyst</w:t>
      </w:r>
      <w:proofErr w:type="spellEnd"/>
      <w:r w:rsidRPr="005306EE">
        <w:rPr>
          <w:rFonts w:ascii="Century Gothic" w:hAnsi="Century Gothic" w:cs="Arial"/>
        </w:rPr>
        <w:t xml:space="preserve"> 2960S, Cisco </w:t>
      </w:r>
      <w:proofErr w:type="spellStart"/>
      <w:r w:rsidRPr="005306EE">
        <w:rPr>
          <w:rFonts w:ascii="Century Gothic" w:hAnsi="Century Gothic" w:cs="Arial"/>
        </w:rPr>
        <w:t>Catalyst</w:t>
      </w:r>
      <w:proofErr w:type="spellEnd"/>
      <w:r w:rsidRPr="005306EE">
        <w:rPr>
          <w:rFonts w:ascii="Century Gothic" w:hAnsi="Century Gothic" w:cs="Arial"/>
        </w:rPr>
        <w:t xml:space="preserve"> 4506-e, Cisco </w:t>
      </w:r>
      <w:proofErr w:type="spellStart"/>
      <w:r w:rsidRPr="005306EE">
        <w:rPr>
          <w:rFonts w:ascii="Century Gothic" w:hAnsi="Century Gothic" w:cs="Arial"/>
        </w:rPr>
        <w:t>Catalyst</w:t>
      </w:r>
      <w:proofErr w:type="spellEnd"/>
      <w:r w:rsidRPr="005306EE">
        <w:rPr>
          <w:rFonts w:ascii="Century Gothic" w:hAnsi="Century Gothic" w:cs="Arial"/>
        </w:rPr>
        <w:t xml:space="preserve"> 2960X, Cisco 2960L, Cisco </w:t>
      </w:r>
      <w:proofErr w:type="spellStart"/>
      <w:r w:rsidRPr="005306EE">
        <w:rPr>
          <w:rFonts w:ascii="Century Gothic" w:hAnsi="Century Gothic" w:cs="Arial"/>
        </w:rPr>
        <w:t>Catalyst</w:t>
      </w:r>
      <w:proofErr w:type="spellEnd"/>
      <w:r w:rsidRPr="005306EE">
        <w:rPr>
          <w:rFonts w:ascii="Century Gothic" w:hAnsi="Century Gothic" w:cs="Arial"/>
        </w:rPr>
        <w:t xml:space="preserve"> 9300. Zaoferowane przełączniki muszą umożliwiać połączenie w tzw. stos z posiadanymi przez zamawiającego przełącznikami </w:t>
      </w:r>
      <w:r w:rsidRPr="005306EE">
        <w:rPr>
          <w:rFonts w:ascii="Century Gothic" w:hAnsi="Century Gothic" w:cs="Arial"/>
          <w:shd w:val="clear" w:color="auto" w:fill="FFFFFF"/>
        </w:rPr>
        <w:t xml:space="preserve">Cisco </w:t>
      </w:r>
      <w:proofErr w:type="spellStart"/>
      <w:r w:rsidRPr="005306EE">
        <w:rPr>
          <w:rFonts w:ascii="Century Gothic" w:hAnsi="Century Gothic" w:cs="Arial"/>
          <w:shd w:val="clear" w:color="auto" w:fill="FFFFFF"/>
        </w:rPr>
        <w:t>Catalyst</w:t>
      </w:r>
      <w:proofErr w:type="spellEnd"/>
      <w:r w:rsidRPr="005306EE">
        <w:rPr>
          <w:rFonts w:ascii="Century Gothic" w:hAnsi="Century Gothic" w:cs="Arial"/>
          <w:shd w:val="clear" w:color="auto" w:fill="FFFFFF"/>
        </w:rPr>
        <w:t xml:space="preserve"> 9300-48T-A oraz zawierać w zestawie niezbędne do tej funkcjonalności okablowanie.</w:t>
      </w:r>
      <w:r w:rsidRPr="005306EE">
        <w:rPr>
          <w:rFonts w:ascii="Century Gothic" w:hAnsi="Century Gothic" w:cs="Arial"/>
        </w:rPr>
        <w:t xml:space="preserve"> Zatem rozwiązaniem równoważnym będzie zastąpienie komponentów infrastruktury sieciowej Zamawiającego niekompatybilnych z oferowanymi przez Wykonawcę przełącznikami sieciowymi przez dostarczenie i wdrożenie odpowiedników tych komponentów, kompatybilnych z zaoferowanymi przełącznikami sieciowymi. Wdrożenie rozwiązania równoważnego musi odbyć się w sposób nie powodujący przerwania ciągłości działania Agencji Rezerw Materiałowych.</w:t>
      </w:r>
    </w:p>
    <w:p w:rsidR="005306EE" w:rsidRPr="005306EE" w:rsidRDefault="005306EE" w:rsidP="005306EE">
      <w:pPr>
        <w:spacing w:after="0" w:line="360" w:lineRule="auto"/>
        <w:rPr>
          <w:rFonts w:ascii="Century Gothic" w:hAnsi="Century Gothic" w:cs="Arial"/>
        </w:rPr>
      </w:pP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  <w:b/>
        </w:rPr>
      </w:pPr>
      <w:r w:rsidRPr="005306EE">
        <w:rPr>
          <w:rFonts w:ascii="Century Gothic" w:eastAsiaTheme="minorHAnsi" w:hAnsi="Century Gothic" w:cs="Arial"/>
          <w:b/>
        </w:rPr>
        <w:t xml:space="preserve">1. Ogólne wymagania odnośnie urządzeń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1.1. </w:t>
      </w:r>
      <w:r w:rsidRPr="005306EE">
        <w:rPr>
          <w:rFonts w:ascii="Century Gothic" w:eastAsiaTheme="minorHAnsi" w:hAnsi="Century Gothic" w:cs="Arial"/>
        </w:rPr>
        <w:tab/>
        <w:t xml:space="preserve">urządzenia muszą być fabrycznie nowe i nieużywane wcześniej w żadnych innych projektach. Nie dopuszcza się urządzeń typu </w:t>
      </w:r>
      <w:proofErr w:type="spellStart"/>
      <w:r w:rsidRPr="005306EE">
        <w:rPr>
          <w:rFonts w:ascii="Century Gothic" w:eastAsiaTheme="minorHAnsi" w:hAnsi="Century Gothic" w:cs="Arial"/>
        </w:rPr>
        <w:t>refurbished</w:t>
      </w:r>
      <w:proofErr w:type="spellEnd"/>
      <w:r w:rsidRPr="005306EE">
        <w:rPr>
          <w:rFonts w:ascii="Century Gothic" w:eastAsiaTheme="minorHAnsi" w:hAnsi="Century Gothic" w:cs="Arial"/>
        </w:rPr>
        <w:t xml:space="preserve">/odnowione (zwróconych do producenta i później odsprzedawanych ponownie przez producenta).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1.2. </w:t>
      </w:r>
      <w:r w:rsidRPr="005306EE">
        <w:rPr>
          <w:rFonts w:ascii="Century Gothic" w:eastAsiaTheme="minorHAnsi" w:hAnsi="Century Gothic" w:cs="Arial"/>
        </w:rPr>
        <w:tab/>
        <w:t xml:space="preserve">oferowane urządzenia muszą pochodzić z autoryzowanego kanału dystrybucji producenta przeznaczonego na teren Unii Europejskiej, a korzystanie przez Zamawiającego z dostarczonego produktu nie może stanowić naruszenia majątkowych praw autorskich osób trzecich. Zamawiający wymaga dostarczenia wraz z urządzeniami oświadczenia producenta lub przedstawiciela producenta potwierdzającego ważność i zakres uprawnień licencyjnych.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1.3. </w:t>
      </w:r>
      <w:r w:rsidRPr="005306EE">
        <w:rPr>
          <w:rFonts w:ascii="Century Gothic" w:eastAsiaTheme="minorHAnsi" w:hAnsi="Century Gothic" w:cs="Arial"/>
        </w:rPr>
        <w:tab/>
        <w:t xml:space="preserve">zamawiający zastrzega sobie prawo do sprawdzenia legalności dostawy bezpośrednio u producenta lub polskiego przedstawiciela producenta, </w:t>
      </w:r>
      <w:r w:rsidRPr="005306EE">
        <w:rPr>
          <w:rFonts w:ascii="Century Gothic" w:eastAsiaTheme="minorHAnsi" w:hAnsi="Century Gothic" w:cs="Arial"/>
        </w:rPr>
        <w:br/>
      </w:r>
      <w:r w:rsidRPr="005306EE">
        <w:rPr>
          <w:rFonts w:ascii="Century Gothic" w:eastAsiaTheme="minorHAnsi" w:hAnsi="Century Gothic" w:cs="Arial"/>
        </w:rPr>
        <w:lastRenderedPageBreak/>
        <w:t xml:space="preserve">w szczególności ważności i zakresu uprawnień licencyjnych oraz gwarancyjnych.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1.4. </w:t>
      </w:r>
      <w:r w:rsidRPr="005306EE">
        <w:rPr>
          <w:rFonts w:ascii="Century Gothic" w:eastAsiaTheme="minorHAnsi" w:hAnsi="Century Gothic" w:cs="Arial"/>
        </w:rPr>
        <w:tab/>
        <w:t xml:space="preserve">wszystkie przełączniki  muszą pochodzić od producenta przełączników sieciowych i muszą być objęte kontraktem serwisowym producenta, którym będą objęte dostarczane przełączniki. 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  <w:b/>
        </w:rPr>
        <w:t>2. Wymaganie kompatybilności dla wszystkich przełączników sieciowych</w:t>
      </w:r>
      <w:r w:rsidRPr="005306EE">
        <w:rPr>
          <w:rFonts w:ascii="Century Gothic" w:eastAsiaTheme="minorHAnsi" w:hAnsi="Century Gothic" w:cs="Arial"/>
        </w:rPr>
        <w:t xml:space="preserve">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Oferowane przełączniki muszą znajdować się na liście kompatybilności producenta </w:t>
      </w:r>
      <w:r w:rsidRPr="005306EE">
        <w:rPr>
          <w:rFonts w:ascii="Century Gothic" w:eastAsiaTheme="minorHAnsi" w:hAnsi="Century Gothic" w:cs="Arial"/>
        </w:rPr>
        <w:br/>
        <w:t>z posiadanym przez Zamawiającego systemem kontroli dostępu Cisco Identity Services Engine 2.4 w tabeli 2 „</w:t>
      </w:r>
      <w:proofErr w:type="spellStart"/>
      <w:r w:rsidRPr="005306EE">
        <w:rPr>
          <w:rFonts w:ascii="Century Gothic" w:eastAsiaTheme="minorHAnsi" w:hAnsi="Century Gothic" w:cs="Arial"/>
        </w:rPr>
        <w:t>Supported</w:t>
      </w:r>
      <w:proofErr w:type="spellEnd"/>
      <w:r w:rsidRPr="005306EE">
        <w:rPr>
          <w:rFonts w:ascii="Century Gothic" w:eastAsiaTheme="minorHAnsi" w:hAnsi="Century Gothic" w:cs="Arial"/>
        </w:rPr>
        <w:t xml:space="preserve"> Cisco Access </w:t>
      </w:r>
      <w:proofErr w:type="spellStart"/>
      <w:r w:rsidRPr="005306EE">
        <w:rPr>
          <w:rFonts w:ascii="Century Gothic" w:eastAsiaTheme="minorHAnsi" w:hAnsi="Century Gothic" w:cs="Arial"/>
        </w:rPr>
        <w:t>Switches</w:t>
      </w:r>
      <w:proofErr w:type="spellEnd"/>
      <w:r w:rsidRPr="005306EE">
        <w:rPr>
          <w:rFonts w:ascii="Century Gothic" w:eastAsiaTheme="minorHAnsi" w:hAnsi="Century Gothic" w:cs="Arial"/>
        </w:rPr>
        <w:t xml:space="preserve">” oraz muszą zapewniać pełne wsparcie w zakresie wszystkich wymienionych w tej tabeli funkcjonalności, czyli: AAA, </w:t>
      </w:r>
      <w:proofErr w:type="spellStart"/>
      <w:r w:rsidRPr="005306EE">
        <w:rPr>
          <w:rFonts w:ascii="Century Gothic" w:eastAsiaTheme="minorHAnsi" w:hAnsi="Century Gothic" w:cs="Arial"/>
        </w:rPr>
        <w:t>Profiling</w:t>
      </w:r>
      <w:proofErr w:type="spellEnd"/>
      <w:r w:rsidRPr="005306EE">
        <w:rPr>
          <w:rFonts w:ascii="Century Gothic" w:eastAsiaTheme="minorHAnsi" w:hAnsi="Century Gothic" w:cs="Arial"/>
        </w:rPr>
        <w:t xml:space="preserve">, BYOD, </w:t>
      </w:r>
      <w:proofErr w:type="spellStart"/>
      <w:r w:rsidRPr="005306EE">
        <w:rPr>
          <w:rFonts w:ascii="Century Gothic" w:eastAsiaTheme="minorHAnsi" w:hAnsi="Century Gothic" w:cs="Arial"/>
        </w:rPr>
        <w:t>Guest</w:t>
      </w:r>
      <w:proofErr w:type="spellEnd"/>
      <w:r w:rsidRPr="005306EE">
        <w:rPr>
          <w:rFonts w:ascii="Century Gothic" w:eastAsiaTheme="minorHAnsi" w:hAnsi="Century Gothic" w:cs="Arial"/>
        </w:rPr>
        <w:t xml:space="preserve">, </w:t>
      </w:r>
      <w:proofErr w:type="spellStart"/>
      <w:r w:rsidRPr="005306EE">
        <w:rPr>
          <w:rFonts w:ascii="Century Gothic" w:eastAsiaTheme="minorHAnsi" w:hAnsi="Century Gothic" w:cs="Arial"/>
        </w:rPr>
        <w:t>Guest</w:t>
      </w:r>
      <w:proofErr w:type="spellEnd"/>
      <w:r w:rsidRPr="005306EE">
        <w:rPr>
          <w:rFonts w:ascii="Century Gothic" w:eastAsiaTheme="minorHAnsi" w:hAnsi="Century Gothic" w:cs="Arial"/>
        </w:rPr>
        <w:t xml:space="preserve"> </w:t>
      </w:r>
      <w:proofErr w:type="spellStart"/>
      <w:r w:rsidRPr="005306EE">
        <w:rPr>
          <w:rFonts w:ascii="Century Gothic" w:eastAsiaTheme="minorHAnsi" w:hAnsi="Century Gothic" w:cs="Arial"/>
        </w:rPr>
        <w:t>Originating</w:t>
      </w:r>
      <w:proofErr w:type="spellEnd"/>
      <w:r w:rsidRPr="005306EE">
        <w:rPr>
          <w:rFonts w:ascii="Century Gothic" w:eastAsiaTheme="minorHAnsi" w:hAnsi="Century Gothic" w:cs="Arial"/>
        </w:rPr>
        <w:t xml:space="preserve"> URL, </w:t>
      </w:r>
      <w:proofErr w:type="spellStart"/>
      <w:r w:rsidRPr="005306EE">
        <w:rPr>
          <w:rFonts w:ascii="Century Gothic" w:eastAsiaTheme="minorHAnsi" w:hAnsi="Century Gothic" w:cs="Arial"/>
        </w:rPr>
        <w:t>Posture</w:t>
      </w:r>
      <w:proofErr w:type="spellEnd"/>
      <w:r w:rsidRPr="005306EE">
        <w:rPr>
          <w:rFonts w:ascii="Century Gothic" w:eastAsiaTheme="minorHAnsi" w:hAnsi="Century Gothic" w:cs="Arial"/>
        </w:rPr>
        <w:t xml:space="preserve">, MDM oraz </w:t>
      </w:r>
      <w:proofErr w:type="spellStart"/>
      <w:r w:rsidRPr="005306EE">
        <w:rPr>
          <w:rFonts w:ascii="Century Gothic" w:eastAsiaTheme="minorHAnsi" w:hAnsi="Century Gothic" w:cs="Arial"/>
        </w:rPr>
        <w:t>TrustSec</w:t>
      </w:r>
      <w:proofErr w:type="spellEnd"/>
      <w:r w:rsidRPr="005306EE">
        <w:rPr>
          <w:rFonts w:ascii="Century Gothic" w:eastAsiaTheme="minorHAnsi" w:hAnsi="Century Gothic" w:cs="Arial"/>
        </w:rPr>
        <w:t xml:space="preserve">. Lista kompatybilności dostępna jest na stronie: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https://www.cisco.com/c/en/us/td/docs/security/ise/24/compatibility/b_ise_sdt_24.html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  <w:b/>
        </w:rPr>
      </w:pPr>
      <w:r w:rsidRPr="005306EE">
        <w:rPr>
          <w:rFonts w:ascii="Century Gothic" w:eastAsiaTheme="minorHAnsi" w:hAnsi="Century Gothic" w:cs="Arial"/>
          <w:b/>
        </w:rPr>
        <w:t>3. Wymagania dla przełącznika</w:t>
      </w:r>
      <w:r w:rsidRPr="005306EE">
        <w:rPr>
          <w:rFonts w:ascii="Century Gothic" w:eastAsiaTheme="minorHAnsi" w:hAnsi="Century Gothic" w:cs="Arial"/>
          <w:b/>
          <w:shd w:val="clear" w:color="auto" w:fill="ECECEC"/>
        </w:rPr>
        <w:t xml:space="preserve"> </w:t>
      </w:r>
      <w:r w:rsidRPr="005306EE">
        <w:rPr>
          <w:rFonts w:ascii="Century Gothic" w:eastAsiaTheme="minorHAnsi" w:hAnsi="Century Gothic" w:cs="Arial"/>
          <w:b/>
        </w:rPr>
        <w:t xml:space="preserve">Cisco </w:t>
      </w:r>
      <w:proofErr w:type="spellStart"/>
      <w:r w:rsidRPr="005306EE">
        <w:rPr>
          <w:rFonts w:ascii="Century Gothic" w:eastAsiaTheme="minorHAnsi" w:hAnsi="Century Gothic" w:cs="Arial"/>
          <w:b/>
        </w:rPr>
        <w:t>Catalyst</w:t>
      </w:r>
      <w:proofErr w:type="spellEnd"/>
      <w:r w:rsidRPr="005306EE">
        <w:rPr>
          <w:rFonts w:ascii="Century Gothic" w:eastAsiaTheme="minorHAnsi" w:hAnsi="Century Gothic" w:cs="Arial"/>
          <w:b/>
        </w:rPr>
        <w:t xml:space="preserve"> 9200L-48P-4G-A – 20 szt.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3.1. przełącznik 1 Gigabit Ethernet wyposażony w co najmniej: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a) 48 portów GE 10/100/1000 z </w:t>
      </w:r>
      <w:proofErr w:type="spellStart"/>
      <w:r w:rsidRPr="005306EE">
        <w:rPr>
          <w:rFonts w:ascii="Century Gothic" w:eastAsiaTheme="minorHAnsi" w:hAnsi="Century Gothic" w:cs="Arial"/>
          <w:shd w:val="clear" w:color="auto" w:fill="FFFFFF"/>
        </w:rPr>
        <w:t>full</w:t>
      </w:r>
      <w:proofErr w:type="spellEnd"/>
      <w:r w:rsidRPr="005306EE">
        <w:rPr>
          <w:rFonts w:ascii="Century Gothic" w:eastAsiaTheme="minorHAnsi" w:hAnsi="Century Gothic" w:cs="Arial"/>
          <w:shd w:val="clear" w:color="auto" w:fill="FFFFFF"/>
        </w:rPr>
        <w:t xml:space="preserve"> </w:t>
      </w:r>
      <w:proofErr w:type="spellStart"/>
      <w:r w:rsidRPr="005306EE">
        <w:rPr>
          <w:rFonts w:ascii="Century Gothic" w:eastAsiaTheme="minorHAnsi" w:hAnsi="Century Gothic" w:cs="Arial"/>
          <w:shd w:val="clear" w:color="auto" w:fill="FFFFFF"/>
        </w:rPr>
        <w:t>PoE</w:t>
      </w:r>
      <w:proofErr w:type="spellEnd"/>
      <w:r w:rsidRPr="005306EE">
        <w:rPr>
          <w:rFonts w:ascii="Century Gothic" w:eastAsiaTheme="minorHAnsi" w:hAnsi="Century Gothic" w:cs="Arial"/>
          <w:shd w:val="clear" w:color="auto" w:fill="FFFFFF"/>
        </w:rPr>
        <w:t>+</w:t>
      </w:r>
      <w:r w:rsidRPr="005306EE">
        <w:rPr>
          <w:rFonts w:ascii="Century Gothic" w:eastAsiaTheme="minorHAnsi" w:hAnsi="Century Gothic" w:cs="Arial"/>
        </w:rPr>
        <w:t xml:space="preserve">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b) 4 porty 1 Gigabit Ethernet ze stykiem definiowanym przez moduły SFP lub równoważne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3.2. wyposażone we wbudowane moduły wentylatorów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3.3. pamięć DRAM minimum 2GB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3.4. pamięć FLASH minimum 4GB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3.5. dwa zasilacze redundantne 230V AC. Nie jest dopuszczalne stosowanie zewnętrznych systemów zasilania redundantnego w celu realizacji tego zadania. Zasilacze muszą być wymienne.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3.6. magistrala przełączająca o przepustowości co najmniej 104Gbps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3.7. możliwość łączenia w stos, przepustowość w stosie nie mniejsza niż 80 </w:t>
      </w:r>
      <w:proofErr w:type="spellStart"/>
      <w:r w:rsidRPr="005306EE">
        <w:rPr>
          <w:rFonts w:ascii="Century Gothic" w:eastAsiaTheme="minorHAnsi" w:hAnsi="Century Gothic" w:cs="Arial"/>
        </w:rPr>
        <w:t>Gbps</w:t>
      </w:r>
      <w:proofErr w:type="spellEnd"/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3.8. obsługa ramek Ethernet o wielkości nie mniejszej niż 9198 bajtów (tzw. Jumbo </w:t>
      </w:r>
      <w:proofErr w:type="spellStart"/>
      <w:r w:rsidRPr="005306EE">
        <w:rPr>
          <w:rFonts w:ascii="Century Gothic" w:eastAsiaTheme="minorHAnsi" w:hAnsi="Century Gothic" w:cs="Arial"/>
        </w:rPr>
        <w:t>Frame</w:t>
      </w:r>
      <w:proofErr w:type="spellEnd"/>
      <w:r w:rsidRPr="005306EE">
        <w:rPr>
          <w:rFonts w:ascii="Century Gothic" w:eastAsiaTheme="minorHAnsi" w:hAnsi="Century Gothic" w:cs="Arial"/>
        </w:rPr>
        <w:t>)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3.9. obsługa minimum: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a) 16.000 adresów MAC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b) 11.000 tras IPv4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3.10. obsługa protokołu NTP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3.11. obsługa IGMPv1/2/3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lastRenderedPageBreak/>
        <w:t xml:space="preserve">3.12. przełącznik musi wspierać następujące mechanizmy związane z zapewnieniem ciągłości pracy sieci: IEEE 802.1w </w:t>
      </w:r>
      <w:proofErr w:type="spellStart"/>
      <w:r w:rsidRPr="005306EE">
        <w:rPr>
          <w:rFonts w:ascii="Century Gothic" w:eastAsiaTheme="minorHAnsi" w:hAnsi="Century Gothic" w:cs="Arial"/>
        </w:rPr>
        <w:t>Rapid</w:t>
      </w:r>
      <w:proofErr w:type="spellEnd"/>
      <w:r w:rsidRPr="005306EE">
        <w:rPr>
          <w:rFonts w:ascii="Century Gothic" w:eastAsiaTheme="minorHAnsi" w:hAnsi="Century Gothic" w:cs="Arial"/>
        </w:rPr>
        <w:t xml:space="preserve"> </w:t>
      </w:r>
      <w:proofErr w:type="spellStart"/>
      <w:r w:rsidRPr="005306EE">
        <w:rPr>
          <w:rFonts w:ascii="Century Gothic" w:eastAsiaTheme="minorHAnsi" w:hAnsi="Century Gothic" w:cs="Arial"/>
        </w:rPr>
        <w:t>Spanning</w:t>
      </w:r>
      <w:proofErr w:type="spellEnd"/>
      <w:r w:rsidRPr="005306EE">
        <w:rPr>
          <w:rFonts w:ascii="Century Gothic" w:eastAsiaTheme="minorHAnsi" w:hAnsi="Century Gothic" w:cs="Arial"/>
        </w:rPr>
        <w:t xml:space="preserve"> </w:t>
      </w:r>
      <w:proofErr w:type="spellStart"/>
      <w:r w:rsidRPr="005306EE">
        <w:rPr>
          <w:rFonts w:ascii="Century Gothic" w:eastAsiaTheme="minorHAnsi" w:hAnsi="Century Gothic" w:cs="Arial"/>
        </w:rPr>
        <w:t>Tree</w:t>
      </w:r>
      <w:proofErr w:type="spellEnd"/>
      <w:r w:rsidRPr="005306EE">
        <w:rPr>
          <w:rFonts w:ascii="Century Gothic" w:eastAsiaTheme="minorHAnsi" w:hAnsi="Century Gothic" w:cs="Arial"/>
        </w:rPr>
        <w:t xml:space="preserve"> 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3.13. obsługa protokołu LLDP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3.14. przełącznik musi posiadać możliwość uruchomienia funkcji serwera DHCP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3.15. mechanizmy związane z zapewnieniem bezpieczeństwa sieci: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a) minimum 5 poziomów dostępu administracyjnego poprzez konsolę. Przełącznik musi umożliwiać zalogowanie się administratora z konkretnym poziomem dostępu zgodnie z odpowiedzą serwera autoryzacji (</w:t>
      </w:r>
      <w:proofErr w:type="spellStart"/>
      <w:r w:rsidRPr="005306EE">
        <w:rPr>
          <w:rFonts w:ascii="Century Gothic" w:eastAsiaTheme="minorHAnsi" w:hAnsi="Century Gothic" w:cs="Arial"/>
        </w:rPr>
        <w:t>privilege-level</w:t>
      </w:r>
      <w:proofErr w:type="spellEnd"/>
      <w:r w:rsidRPr="005306EE">
        <w:rPr>
          <w:rFonts w:ascii="Century Gothic" w:eastAsiaTheme="minorHAnsi" w:hAnsi="Century Gothic" w:cs="Arial"/>
        </w:rPr>
        <w:t xml:space="preserve">)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b) autoryzacja użytkowników w oparciu o IEEE 802.1X z możliwością dynamicznego przypisania użytkownika do określonej sieci VLAN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c) autoryzacja użytkowników w oparciu o IEEE 802.1X z możliwością dynamicznego przypisania listy ACL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  <w:lang w:val="en-US"/>
        </w:rPr>
      </w:pPr>
      <w:r w:rsidRPr="005306EE">
        <w:rPr>
          <w:rFonts w:ascii="Century Gothic" w:eastAsiaTheme="minorHAnsi" w:hAnsi="Century Gothic" w:cs="Arial"/>
          <w:lang w:val="en-US"/>
        </w:rPr>
        <w:t xml:space="preserve">d) </w:t>
      </w:r>
      <w:proofErr w:type="spellStart"/>
      <w:r w:rsidRPr="005306EE">
        <w:rPr>
          <w:rFonts w:ascii="Century Gothic" w:eastAsiaTheme="minorHAnsi" w:hAnsi="Century Gothic" w:cs="Arial"/>
          <w:lang w:val="en-US"/>
        </w:rPr>
        <w:t>obsługa</w:t>
      </w:r>
      <w:proofErr w:type="spellEnd"/>
      <w:r w:rsidRPr="005306EE">
        <w:rPr>
          <w:rFonts w:ascii="Century Gothic" w:eastAsiaTheme="minorHAnsi" w:hAnsi="Century Gothic" w:cs="Arial"/>
          <w:lang w:val="en-US"/>
        </w:rPr>
        <w:t xml:space="preserve"> </w:t>
      </w:r>
      <w:proofErr w:type="spellStart"/>
      <w:r w:rsidRPr="005306EE">
        <w:rPr>
          <w:rFonts w:ascii="Century Gothic" w:eastAsiaTheme="minorHAnsi" w:hAnsi="Century Gothic" w:cs="Arial"/>
          <w:lang w:val="en-US"/>
        </w:rPr>
        <w:t>funkcji</w:t>
      </w:r>
      <w:proofErr w:type="spellEnd"/>
      <w:r w:rsidRPr="005306EE">
        <w:rPr>
          <w:rFonts w:ascii="Century Gothic" w:eastAsiaTheme="minorHAnsi" w:hAnsi="Century Gothic" w:cs="Arial"/>
          <w:lang w:val="en-US"/>
        </w:rPr>
        <w:t xml:space="preserve"> Port Security, DHCP Snooping, Dynamic ARP Inspection </w:t>
      </w:r>
      <w:proofErr w:type="spellStart"/>
      <w:r w:rsidRPr="005306EE">
        <w:rPr>
          <w:rFonts w:ascii="Century Gothic" w:eastAsiaTheme="minorHAnsi" w:hAnsi="Century Gothic" w:cs="Arial"/>
          <w:lang w:val="en-US"/>
        </w:rPr>
        <w:t>i</w:t>
      </w:r>
      <w:proofErr w:type="spellEnd"/>
      <w:r w:rsidRPr="005306EE">
        <w:rPr>
          <w:rFonts w:ascii="Century Gothic" w:eastAsiaTheme="minorHAnsi" w:hAnsi="Century Gothic" w:cs="Arial"/>
          <w:lang w:val="en-US"/>
        </w:rPr>
        <w:t xml:space="preserve"> IP Source Guard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e) możliwość autoryzacji prób logowania do urządzenia (dostęp administracyjny) do serwerów RADIUS lub TACACS+ (niezbędnym jest aby zaproponowany przełącznik współpracował z posiadanym przez Zamawiającego systemem CISCO ISE)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f) obsługa </w:t>
      </w:r>
      <w:proofErr w:type="spellStart"/>
      <w:r w:rsidRPr="005306EE">
        <w:rPr>
          <w:rFonts w:ascii="Century Gothic" w:eastAsiaTheme="minorHAnsi" w:hAnsi="Century Gothic" w:cs="Arial"/>
        </w:rPr>
        <w:t>MACSec</w:t>
      </w:r>
      <w:proofErr w:type="spellEnd"/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g) zapewnienie podstawowych mechanizmów bezpieczeństwa IPv6 na brzegu sieci (IPv6 FHS) 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3.16. mechanizmy związane z zapewnieniem jakości usług w sieci: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a) Implementacja algorytmu </w:t>
      </w:r>
      <w:proofErr w:type="spellStart"/>
      <w:r w:rsidRPr="005306EE">
        <w:rPr>
          <w:rFonts w:ascii="Century Gothic" w:eastAsiaTheme="minorHAnsi" w:hAnsi="Century Gothic" w:cs="Arial"/>
        </w:rPr>
        <w:t>Shaped</w:t>
      </w:r>
      <w:proofErr w:type="spellEnd"/>
      <w:r w:rsidRPr="005306EE">
        <w:rPr>
          <w:rFonts w:ascii="Century Gothic" w:eastAsiaTheme="minorHAnsi" w:hAnsi="Century Gothic" w:cs="Arial"/>
        </w:rPr>
        <w:t xml:space="preserve"> </w:t>
      </w:r>
      <w:proofErr w:type="spellStart"/>
      <w:r w:rsidRPr="005306EE">
        <w:rPr>
          <w:rFonts w:ascii="Century Gothic" w:eastAsiaTheme="minorHAnsi" w:hAnsi="Century Gothic" w:cs="Arial"/>
        </w:rPr>
        <w:t>Round</w:t>
      </w:r>
      <w:proofErr w:type="spellEnd"/>
      <w:r w:rsidRPr="005306EE">
        <w:rPr>
          <w:rFonts w:ascii="Century Gothic" w:eastAsiaTheme="minorHAnsi" w:hAnsi="Century Gothic" w:cs="Arial"/>
        </w:rPr>
        <w:t xml:space="preserve"> Robin lub podobnego dla obsługi kolejek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b) klasyfikacja ruchu do klas różnej jakości obsługi (</w:t>
      </w:r>
      <w:proofErr w:type="spellStart"/>
      <w:r w:rsidRPr="005306EE">
        <w:rPr>
          <w:rFonts w:ascii="Century Gothic" w:eastAsiaTheme="minorHAnsi" w:hAnsi="Century Gothic" w:cs="Arial"/>
        </w:rPr>
        <w:t>QoS</w:t>
      </w:r>
      <w:proofErr w:type="spellEnd"/>
      <w:r w:rsidRPr="005306EE">
        <w:rPr>
          <w:rFonts w:ascii="Century Gothic" w:eastAsiaTheme="minorHAnsi" w:hAnsi="Century Gothic" w:cs="Arial"/>
        </w:rPr>
        <w:t xml:space="preserve">) poprzez wykorzystanie następujących parametrów: źródłowy/docelowy adres MAC, źródłowy/docelowy adres IP, źródłowy/docelowy port TCP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c) możliwość ograniczania pasma dostępnego na danym porcie dla ruchu o danej klasie obsługi 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d) kontrola sztormów dla ruchu broadcast/</w:t>
      </w:r>
      <w:proofErr w:type="spellStart"/>
      <w:r w:rsidRPr="005306EE">
        <w:rPr>
          <w:rFonts w:ascii="Century Gothic" w:eastAsiaTheme="minorHAnsi" w:hAnsi="Century Gothic" w:cs="Arial"/>
        </w:rPr>
        <w:t>multicast</w:t>
      </w:r>
      <w:proofErr w:type="spellEnd"/>
      <w:r w:rsidRPr="005306EE">
        <w:rPr>
          <w:rFonts w:ascii="Century Gothic" w:eastAsiaTheme="minorHAnsi" w:hAnsi="Century Gothic" w:cs="Arial"/>
        </w:rPr>
        <w:t>/</w:t>
      </w:r>
      <w:proofErr w:type="spellStart"/>
      <w:r w:rsidRPr="005306EE">
        <w:rPr>
          <w:rFonts w:ascii="Century Gothic" w:eastAsiaTheme="minorHAnsi" w:hAnsi="Century Gothic" w:cs="Arial"/>
        </w:rPr>
        <w:t>unicast</w:t>
      </w:r>
      <w:proofErr w:type="spellEnd"/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e) możliwość zmiany przez urządzenie kodu wartości </w:t>
      </w:r>
      <w:proofErr w:type="spellStart"/>
      <w:r w:rsidRPr="005306EE">
        <w:rPr>
          <w:rFonts w:ascii="Century Gothic" w:eastAsiaTheme="minorHAnsi" w:hAnsi="Century Gothic" w:cs="Arial"/>
        </w:rPr>
        <w:t>QoS</w:t>
      </w:r>
      <w:proofErr w:type="spellEnd"/>
      <w:r w:rsidRPr="005306EE">
        <w:rPr>
          <w:rFonts w:ascii="Century Gothic" w:eastAsiaTheme="minorHAnsi" w:hAnsi="Century Gothic" w:cs="Arial"/>
        </w:rPr>
        <w:t xml:space="preserve"> zawartego w ramce Ethernet lub pakiecie IP – poprzez zmianę pola 802.1p (</w:t>
      </w:r>
      <w:proofErr w:type="spellStart"/>
      <w:r w:rsidRPr="005306EE">
        <w:rPr>
          <w:rFonts w:ascii="Century Gothic" w:eastAsiaTheme="minorHAnsi" w:hAnsi="Century Gothic" w:cs="Arial"/>
        </w:rPr>
        <w:t>CoS</w:t>
      </w:r>
      <w:proofErr w:type="spellEnd"/>
      <w:r w:rsidRPr="005306EE">
        <w:rPr>
          <w:rFonts w:ascii="Century Gothic" w:eastAsiaTheme="minorHAnsi" w:hAnsi="Century Gothic" w:cs="Arial"/>
        </w:rPr>
        <w:t xml:space="preserve">) oraz IP </w:t>
      </w:r>
      <w:proofErr w:type="spellStart"/>
      <w:r w:rsidRPr="005306EE">
        <w:rPr>
          <w:rFonts w:ascii="Century Gothic" w:eastAsiaTheme="minorHAnsi" w:hAnsi="Century Gothic" w:cs="Arial"/>
        </w:rPr>
        <w:t>ToS</w:t>
      </w:r>
      <w:proofErr w:type="spellEnd"/>
      <w:r w:rsidRPr="005306EE">
        <w:rPr>
          <w:rFonts w:ascii="Century Gothic" w:eastAsiaTheme="minorHAnsi" w:hAnsi="Century Gothic" w:cs="Arial"/>
        </w:rPr>
        <w:t xml:space="preserve">/DSCP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f) obsługa routingu dynamicznego dla IPv4 (RI</w:t>
      </w:r>
      <w:bookmarkStart w:id="0" w:name="_GoBack"/>
      <w:bookmarkEnd w:id="0"/>
      <w:r w:rsidRPr="005306EE">
        <w:rPr>
          <w:rFonts w:ascii="Century Gothic" w:eastAsiaTheme="minorHAnsi" w:hAnsi="Century Gothic" w:cs="Arial"/>
        </w:rPr>
        <w:t>P, OSPF) i IPv6 (</w:t>
      </w:r>
      <w:proofErr w:type="spellStart"/>
      <w:r w:rsidRPr="005306EE">
        <w:rPr>
          <w:rFonts w:ascii="Century Gothic" w:eastAsiaTheme="minorHAnsi" w:hAnsi="Century Gothic" w:cs="Arial"/>
        </w:rPr>
        <w:t>RIPng</w:t>
      </w:r>
      <w:proofErr w:type="spellEnd"/>
      <w:r w:rsidRPr="005306EE">
        <w:rPr>
          <w:rFonts w:ascii="Century Gothic" w:eastAsiaTheme="minorHAnsi" w:hAnsi="Century Gothic" w:cs="Arial"/>
        </w:rPr>
        <w:t>, OPSFv3)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g) obsługa protokołu HSRP lub mechanizmu równoważnego dla usług redundancji bramy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lastRenderedPageBreak/>
        <w:t xml:space="preserve">3.17. przełącznik musi umożliwiać zdalną obserwację ruchu na określonym porcie, polegającą na kopiowaniu pojawiających się na nim ramek i przesyłaniu ich do zdalnego urządzenia monitorującego, poprzez dedykowaną sieć VLAN (RSPAN) 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3.18. dedykowany port Ethernet do zarządzania out-of-band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>3.19. minimum dwa porty USB umożliwiające podłączenie zewnętrznego nośnika danych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3.20. szeregowy port konsoli (USB lub EIA/TIA-232)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3.21. obsługa protokołów SNMPv3, SSHv2, SCP, </w:t>
      </w:r>
      <w:proofErr w:type="spellStart"/>
      <w:r w:rsidRPr="005306EE">
        <w:rPr>
          <w:rFonts w:ascii="Century Gothic" w:eastAsiaTheme="minorHAnsi" w:hAnsi="Century Gothic" w:cs="Arial"/>
        </w:rPr>
        <w:t>https</w:t>
      </w:r>
      <w:proofErr w:type="spellEnd"/>
      <w:r w:rsidRPr="005306EE">
        <w:rPr>
          <w:rFonts w:ascii="Century Gothic" w:eastAsiaTheme="minorHAnsi" w:hAnsi="Century Gothic" w:cs="Arial"/>
        </w:rPr>
        <w:t xml:space="preserve">, </w:t>
      </w:r>
      <w:proofErr w:type="spellStart"/>
      <w:r w:rsidRPr="005306EE">
        <w:rPr>
          <w:rFonts w:ascii="Century Gothic" w:eastAsiaTheme="minorHAnsi" w:hAnsi="Century Gothic" w:cs="Arial"/>
        </w:rPr>
        <w:t>syslog</w:t>
      </w:r>
      <w:proofErr w:type="spellEnd"/>
      <w:r w:rsidRPr="005306EE">
        <w:rPr>
          <w:rFonts w:ascii="Century Gothic" w:eastAsiaTheme="minorHAnsi" w:hAnsi="Century Gothic" w:cs="Arial"/>
        </w:rPr>
        <w:t xml:space="preserve"> – z wykorzystaniem protokołów IPv4 i IPv6 </w:t>
      </w:r>
    </w:p>
    <w:p w:rsidR="005306EE" w:rsidRPr="005306EE" w:rsidRDefault="005306EE" w:rsidP="005306EE">
      <w:pPr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3.22. możliwość montażu w szafie </w:t>
      </w:r>
      <w:proofErr w:type="spellStart"/>
      <w:r w:rsidRPr="005306EE">
        <w:rPr>
          <w:rFonts w:ascii="Century Gothic" w:eastAsiaTheme="minorHAnsi" w:hAnsi="Century Gothic" w:cs="Arial"/>
        </w:rPr>
        <w:t>rack</w:t>
      </w:r>
      <w:proofErr w:type="spellEnd"/>
      <w:r w:rsidRPr="005306EE">
        <w:rPr>
          <w:rFonts w:ascii="Century Gothic" w:eastAsiaTheme="minorHAnsi" w:hAnsi="Century Gothic" w:cs="Arial"/>
        </w:rPr>
        <w:t xml:space="preserve"> 19”</w:t>
      </w:r>
    </w:p>
    <w:p w:rsidR="005306EE" w:rsidRPr="005306EE" w:rsidRDefault="005306EE" w:rsidP="005306E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Theme="minorHAnsi" w:hAnsi="Century Gothic" w:cs="Arial"/>
        </w:rPr>
      </w:pPr>
      <w:r w:rsidRPr="005306EE">
        <w:rPr>
          <w:rFonts w:ascii="Century Gothic" w:eastAsiaTheme="minorHAnsi" w:hAnsi="Century Gothic" w:cs="Arial"/>
        </w:rPr>
        <w:t xml:space="preserve">3.23. w okresie gwarancji przełączniki muszą być objęte kontraktem serwisowym – Cisco </w:t>
      </w:r>
      <w:proofErr w:type="spellStart"/>
      <w:r w:rsidRPr="005306EE">
        <w:rPr>
          <w:rFonts w:ascii="Century Gothic" w:eastAsiaTheme="minorHAnsi" w:hAnsi="Century Gothic" w:cs="Arial"/>
        </w:rPr>
        <w:t>SmartNet</w:t>
      </w:r>
      <w:proofErr w:type="spellEnd"/>
      <w:r w:rsidRPr="005306EE">
        <w:rPr>
          <w:rFonts w:ascii="Century Gothic" w:eastAsiaTheme="minorHAnsi" w:hAnsi="Century Gothic" w:cs="Arial"/>
        </w:rPr>
        <w:t xml:space="preserve"> 8x5xNBD lub innym o takich samych warunkach wsparcia.</w:t>
      </w:r>
    </w:p>
    <w:p w:rsidR="00400736" w:rsidRPr="005306EE" w:rsidRDefault="00400736" w:rsidP="005306EE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</w:p>
    <w:sectPr w:rsidR="00400736" w:rsidRPr="0053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C"/>
    <w:rsid w:val="000C07A0"/>
    <w:rsid w:val="0015157C"/>
    <w:rsid w:val="00400736"/>
    <w:rsid w:val="0053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177F-2C67-4408-A07F-191CCFF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6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06E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Maciej</dc:creator>
  <cp:keywords/>
  <dc:description/>
  <cp:lastModifiedBy>Jankowski Maciej</cp:lastModifiedBy>
  <cp:revision>2</cp:revision>
  <dcterms:created xsi:type="dcterms:W3CDTF">2020-06-16T07:00:00Z</dcterms:created>
  <dcterms:modified xsi:type="dcterms:W3CDTF">2020-06-16T07:03:00Z</dcterms:modified>
</cp:coreProperties>
</file>