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 - załącznik nr 4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RI. 7031.</w:t>
      </w:r>
      <w:r>
        <w:rPr>
          <w:rFonts w:cs="Arial" w:ascii="Arial" w:hAnsi="Arial"/>
          <w:b/>
          <w:sz w:val="20"/>
          <w:szCs w:val="20"/>
          <w:lang w:val="pl-PL"/>
        </w:rPr>
        <w:t>4</w:t>
      </w:r>
      <w:r>
        <w:rPr>
          <w:rFonts w:cs="Arial" w:ascii="Arial" w:hAnsi="Arial"/>
          <w:b/>
          <w:sz w:val="20"/>
          <w:szCs w:val="20"/>
          <w:lang w:val="pl-PL"/>
        </w:rPr>
        <w:t>.202</w:t>
      </w:r>
      <w:r>
        <w:rPr>
          <w:rFonts w:cs="Arial" w:ascii="Arial" w:hAnsi="Arial"/>
          <w:b/>
          <w:sz w:val="20"/>
          <w:szCs w:val="20"/>
          <w:lang w:val="pl-PL"/>
        </w:rPr>
        <w:t>3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rPr>
          <w:rFonts w:ascii="Arial" w:hAnsi="Arial" w:eastAsia="Times New Roman" w:cs="Arial"/>
          <w:b/>
          <w:color w:val="000000"/>
          <w:sz w:val="20"/>
          <w:szCs w:val="20"/>
          <w:lang w:val="pl-PL" w:eastAsia="zh-CN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„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Zimowe utrzymanie dróg gminy Kamienna Góra w sezonie zimowym 202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3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/202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4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”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ind w:left="5954" w:hanging="0"/>
        <w:textAlignment w:val="baseline"/>
        <w:rPr>
          <w:color w:val="0070C0"/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ind w:left="5954" w:hanging="0"/>
        <w:textAlignment w:val="baseline"/>
        <w:rPr>
          <w:color w:val="0070C0"/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Gmina Kamienna Góra</w:t>
      </w:r>
    </w:p>
    <w:p>
      <w:pPr>
        <w:pStyle w:val="Normal"/>
        <w:ind w:left="5954" w:hanging="0"/>
        <w:textAlignment w:val="baseline"/>
        <w:rPr>
          <w:color w:val="0070C0"/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Al. Wojska Polskiego 10</w:t>
      </w:r>
    </w:p>
    <w:p>
      <w:pPr>
        <w:pStyle w:val="Normal"/>
        <w:ind w:left="5954" w:hanging="0"/>
        <w:textAlignment w:val="baseline"/>
        <w:rPr>
          <w:color w:val="0070C0"/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  <w:bookmarkStart w:id="0" w:name="_GoBack"/>
      <w:bookmarkEnd w:id="0"/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Zobowiązanie podmiotu o oddaniu Wykonawcy swoich zasobów </w:t>
        <w:br/>
        <w:t>w zakresie zdolności technicznych/zawodowych</w:t>
      </w:r>
    </w:p>
    <w:p>
      <w:pPr>
        <w:pStyle w:val="Normal"/>
        <w:jc w:val="center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Ja/My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podmiotu udostępniającego zasoby)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zobowiązujemy się do oddania do dyspozycji Wykonawcy: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vertAlign w:val="superscript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/>
        </w:rPr>
        <w:t>……………………………………………………………………………………………………………………</w:t>
      </w: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/>
        </w:rPr>
        <w:t>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>(nazwa Wykonawcy ubiegającego się o udzielenie zamówienia)</w:t>
      </w:r>
    </w:p>
    <w:p>
      <w:pPr>
        <w:pStyle w:val="Normal"/>
        <w:textAlignment w:val="baseline"/>
        <w:rPr>
          <w:rFonts w:ascii="Arial" w:hAnsi="Arial" w:eastAsia="Century Gothic" w:cs="Arial"/>
          <w:i/>
          <w:i/>
          <w:color w:val="000000"/>
          <w:sz w:val="16"/>
          <w:szCs w:val="16"/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niezbędnych zasobów na potrzeby wykonania zamówienia pn. 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Podwykonawcy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/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 innych charakterze</w:t>
      </w:r>
      <w:r>
        <w:rPr>
          <w:rFonts w:eastAsia="Century Gothic" w:cs="Arial" w:ascii="Arial" w:hAnsi="Arial"/>
          <w:b/>
          <w:color w:val="000000"/>
          <w:sz w:val="20"/>
          <w:szCs w:val="20"/>
          <w:vertAlign w:val="superscript"/>
          <w:lang w:val="pl-PL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w zakresie………………………………………………………………</w:t>
      </w: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/>
        </w:rPr>
        <w:t>1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(należy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 xml:space="preserve">wypełnić w takim zakresie w jakim podmiot zobowiązuje się oddać Wykonawcy swoje zasoby w zakresie zdolności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technicznych/zawodowych)</w:t>
      </w:r>
    </w:p>
    <w:p>
      <w:pPr>
        <w:pStyle w:val="Normal"/>
        <w:tabs>
          <w:tab w:val="clear" w:pos="708"/>
          <w:tab w:val="left" w:pos="8784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1"/>
          <w:sz w:val="20"/>
          <w:szCs w:val="20"/>
          <w:lang w:val="pl-PL"/>
        </w:rPr>
        <w:t xml:space="preserve">na okres </w:t>
        <w:tab/>
      </w:r>
      <w:r>
        <w:rPr>
          <w:rFonts w:eastAsia="Century Gothic" w:cs="Arial" w:ascii="Arial" w:hAnsi="Arial"/>
          <w:color w:val="000000"/>
          <w:spacing w:val="1"/>
          <w:sz w:val="20"/>
          <w:szCs w:val="20"/>
          <w:vertAlign w:val="superscript"/>
          <w:lang w:val="pl-PL"/>
        </w:rPr>
        <w:t>1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16"/>
          <w:szCs w:val="16"/>
          <w:highlight w:val="yellow"/>
          <w:lang w:val="pl-PL"/>
        </w:rPr>
        <w:t>1 – należy wypełnić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1"/>
          <w:sz w:val="16"/>
          <w:szCs w:val="16"/>
          <w:highlight w:val="yellow"/>
          <w:lang w:val="pl-PL"/>
        </w:rPr>
        <w:t>2 – niepotrzebne skreślić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C392-25D0-4BCA-99B7-36122C01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Application>LibreOffice/7.5.3.2$Windows_X86_64 LibreOffice_project/9f56dff12ba03b9acd7730a5a481eea045e468f3</Application>
  <AppVersion>15.0000</AppVersion>
  <Pages>1</Pages>
  <Words>175</Words>
  <Characters>1388</Characters>
  <CharactersWithSpaces>1542</CharactersWithSpaces>
  <Paragraphs>28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2023-06-20T09:00:21Z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