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64" w:rsidRPr="00B057FD" w:rsidRDefault="00305D68" w:rsidP="00AA2A64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B057FD">
        <w:rPr>
          <w:rFonts w:ascii="Arial" w:hAnsi="Arial" w:cs="Arial"/>
          <w:sz w:val="20"/>
          <w:szCs w:val="20"/>
        </w:rPr>
        <w:t>Załącznik nr 6</w:t>
      </w:r>
      <w:r w:rsidR="00B674F1" w:rsidRPr="00B057FD">
        <w:rPr>
          <w:rFonts w:ascii="Arial" w:hAnsi="Arial" w:cs="Arial"/>
          <w:sz w:val="20"/>
          <w:szCs w:val="20"/>
        </w:rPr>
        <w:t xml:space="preserve"> do U</w:t>
      </w:r>
      <w:r w:rsidR="00AA2A64" w:rsidRPr="00B057FD">
        <w:rPr>
          <w:rFonts w:ascii="Arial" w:hAnsi="Arial" w:cs="Arial"/>
          <w:sz w:val="20"/>
          <w:szCs w:val="20"/>
        </w:rPr>
        <w:t>mowy</w:t>
      </w:r>
    </w:p>
    <w:p w:rsidR="00AA2A64" w:rsidRPr="00DD42A1" w:rsidRDefault="00AA2A64" w:rsidP="00AA2A64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Załącznik do decyzji Nr 145/MON</w:t>
      </w:r>
    </w:p>
    <w:p w:rsidR="00AA2A64" w:rsidRPr="00DD42A1" w:rsidRDefault="00AA2A64" w:rsidP="00AA2A64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Ministra Obrony Narodowej</w:t>
      </w:r>
    </w:p>
    <w:p w:rsidR="00AA2A64" w:rsidRPr="00DD42A1" w:rsidRDefault="00AA2A64" w:rsidP="00AA2A64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z dnia 13 lipca 2017 r. (poz. 157)</w:t>
      </w:r>
    </w:p>
    <w:p w:rsidR="00AA2A64" w:rsidRPr="00DD42A1" w:rsidRDefault="00AA2A64" w:rsidP="00AA2A64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AA2A64" w:rsidRPr="00DD42A1" w:rsidRDefault="00AA2A64" w:rsidP="00AF779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ZASADY POSTĘPOWANIA W KONTAKTACH Z WYKONAWCAMI</w:t>
      </w:r>
    </w:p>
    <w:p w:rsidR="00AA2A64" w:rsidRPr="00DD42A1" w:rsidRDefault="00AA2A64" w:rsidP="00AA2A6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1</w:t>
      </w:r>
    </w:p>
    <w:p w:rsidR="00AA2A64" w:rsidRPr="00DD42A1" w:rsidRDefault="00AA2A64" w:rsidP="00DD42A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Postanowienia ogólne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§ 1</w:t>
      </w:r>
      <w:r w:rsidRPr="00DD42A1">
        <w:rPr>
          <w:rFonts w:ascii="Arial" w:hAnsi="Arial" w:cs="Arial"/>
          <w:sz w:val="20"/>
          <w:szCs w:val="20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z wyłączeniem spółek dla których Minister Obrony Narodowej wykonuje uprawnienia majątkowe przysługujące Skarbowi Państwa z tytułu należących do Skarbu Państwa akcji lub udziałów w tych spółkach,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zwanych dalej "jednostkami organizacyjnymi", oraz osób fizycznych świadczących pracę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na podstawie umów cywilnoprawnych w Ministerstwie Obrony Narodowej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 jednostkach organizacyjnych – w stosunku do osób prawnych, osób fizycznych oraz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jednostek organizacyjnych niebędących osobami prawnymi, którym ustawa przyznaje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zdolność prawną: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wykonujących na rzecz Skarbu Państwa lub państwowej osoby prawnej odpłatne</w:t>
      </w:r>
    </w:p>
    <w:p w:rsidR="00AA2A64" w:rsidRPr="00DD42A1" w:rsidRDefault="00AA2A64" w:rsidP="00AA2A64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umowy, w szczególności na dostawy, świadczenie usług lub roboty budowlane;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które z racji zakresu prowadzonej działalności mogą starać się o zawarcie umów,</w:t>
      </w:r>
    </w:p>
    <w:p w:rsidR="00AA2A64" w:rsidRPr="00DD42A1" w:rsidRDefault="00AA2A64" w:rsidP="00AA2A64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o których mowa w pkt 1;</w:t>
      </w:r>
    </w:p>
    <w:p w:rsidR="00AA2A64" w:rsidRPr="00DD42A1" w:rsidRDefault="00AA2A64" w:rsidP="00AA2A64">
      <w:p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które działają w imieniu lub na rzecz podmiotów wskazanych w pkt 1 lub 2, zwanych dalej "wykonawcami".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2. </w:t>
      </w:r>
      <w:r w:rsidRPr="00DD42A1">
        <w:rPr>
          <w:rFonts w:ascii="Arial" w:hAnsi="Arial" w:cs="Arial"/>
          <w:sz w:val="20"/>
          <w:szCs w:val="20"/>
        </w:rPr>
        <w:t>W kontaktach z wykonawcami należy zachować świadomość, że mogą oni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stosować działania mające na celu zapewnienie im przychylności, skutkujące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naruszeniem zasady bezstronności, równego traktowania lub uczciwej konkurencji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(reguła wzajemności).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3. </w:t>
      </w:r>
      <w:r w:rsidRPr="00DD42A1">
        <w:rPr>
          <w:rFonts w:ascii="Arial" w:hAnsi="Arial" w:cs="Arial"/>
          <w:sz w:val="20"/>
          <w:szCs w:val="20"/>
        </w:rPr>
        <w:t>W kontaktach z wykonawcami należy kierować się zasadami: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godności i honoru;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zdrowego rozsądku i umiaru;</w:t>
      </w:r>
    </w:p>
    <w:p w:rsidR="00AA2A64" w:rsidRPr="00DD42A1" w:rsidRDefault="00AA2A64" w:rsidP="00AA2A6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ochrony dobrego imienia Ministerstwa Obrony Narodowej i Sił Zbrojnych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Rzeczypospolitej Polskiej;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4) pierwszeństwa interesów Ministerstwa Obrony Narodowej i Sił Zbrojnych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Rzeczypospolitej Polskiej;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5) unikania sytuacji, które mogłyby wywoływać powstanie długu materialnego lub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honorowego albo poczucia wdzięczności;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6) bezstronności oraz unikania zachowań faworyzujących konkretnego wykonawcę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w stosunku do jego konkurencji.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2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Rozliczanie kosztów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4. </w:t>
      </w:r>
      <w:r w:rsidRPr="00DD42A1">
        <w:rPr>
          <w:rFonts w:ascii="Arial" w:hAnsi="Arial" w:cs="Arial"/>
          <w:sz w:val="20"/>
          <w:szCs w:val="20"/>
        </w:rPr>
        <w:t>1. Przy rozliczaniu kosztów poniesionych w związk</w:t>
      </w:r>
      <w:r w:rsidR="00DD42A1">
        <w:rPr>
          <w:rFonts w:ascii="Arial" w:hAnsi="Arial" w:cs="Arial"/>
          <w:sz w:val="20"/>
          <w:szCs w:val="20"/>
        </w:rPr>
        <w:t>u z bezpośrednimi kontaktami</w:t>
      </w:r>
      <w:r w:rsidRPr="00DD42A1">
        <w:rPr>
          <w:rFonts w:ascii="Arial" w:hAnsi="Arial" w:cs="Arial"/>
          <w:sz w:val="20"/>
          <w:szCs w:val="20"/>
        </w:rPr>
        <w:t xml:space="preserve">  z wykonawcami należy przyjąć zasadę "każdy płaci za siebie", w szczególności: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koszty podróży służbowych, w tym koszty dojazdów, wyżywienia i noclegów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pokrywa się wyłącznie z budżetu, którego dysponentem jest Minister Obrony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Narodowej;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w restauracjach i innych miejscach wspólnego przebywania rachunki należy opłacać z własnych środków w ramach późniejszego rozliczenia służbowego, lub ze środków pochodzących z budżetu, którego dysponentem jest Minister Obrony Narodowej (karty płatnicze).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 xml:space="preserve">2. Niedopuszczalne jest korzystanie z fundowanego przez wykonawców wyżywienia, transportu, ani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z pokrywania przez nich innych kosztów i zobowiązań z wyjątkiem: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drobnych poczęstunków serwowanych w trakcie podróży służbowych;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transportu związanego z wykonywaniem zadań w ramach podróży służbowych.</w:t>
      </w: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3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Przedsięwzięcia i spotkania z udziałem wykonawców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5. </w:t>
      </w:r>
      <w:r w:rsidRPr="00DD42A1">
        <w:rPr>
          <w:rFonts w:ascii="Arial" w:hAnsi="Arial" w:cs="Arial"/>
          <w:sz w:val="20"/>
          <w:szCs w:val="20"/>
        </w:rPr>
        <w:t>1. Dopuszczalne są przedsięwzięcia związane z zawarciem lub realizacją umowy, organizowane wspólnie przez komórki lub jednostki organizacyjne oraz wykonawców.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lastRenderedPageBreak/>
        <w:t xml:space="preserve">2. Dopuszczalne jest udzielanie pomocy krajowym przedsiębiorstwom sektora obronnego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przedsięwzięciach promocyjnych skierowan</w:t>
      </w:r>
      <w:r w:rsidR="00DD42A1">
        <w:rPr>
          <w:rFonts w:ascii="Arial" w:hAnsi="Arial" w:cs="Arial"/>
          <w:sz w:val="20"/>
          <w:szCs w:val="20"/>
        </w:rPr>
        <w:t>ych na rynki zagraniczne,</w:t>
      </w:r>
      <w:r w:rsidRPr="00DD42A1">
        <w:rPr>
          <w:rFonts w:ascii="Arial" w:hAnsi="Arial" w:cs="Arial"/>
          <w:sz w:val="20"/>
          <w:szCs w:val="20"/>
        </w:rPr>
        <w:t xml:space="preserve"> w tym w ramach międzynarodowych targów, pokazów, wystaw i konferencji o tematyce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obronnej, w szczególności w postaci wystawiania refere</w:t>
      </w:r>
      <w:r w:rsidR="00DD42A1">
        <w:rPr>
          <w:rFonts w:ascii="Arial" w:hAnsi="Arial" w:cs="Arial"/>
          <w:sz w:val="20"/>
          <w:szCs w:val="20"/>
        </w:rPr>
        <w:t>ncji dla sprzętu będącego</w:t>
      </w:r>
      <w:r w:rsidRPr="00DD42A1">
        <w:rPr>
          <w:rFonts w:ascii="Arial" w:hAnsi="Arial" w:cs="Arial"/>
          <w:sz w:val="20"/>
          <w:szCs w:val="20"/>
        </w:rPr>
        <w:t xml:space="preserve">  na wyposażeniu Sił Zbrojnych Rzeczypospolitej Polskiej </w:t>
      </w:r>
      <w:r w:rsidR="00DD42A1">
        <w:rPr>
          <w:rFonts w:ascii="Arial" w:hAnsi="Arial" w:cs="Arial"/>
          <w:sz w:val="20"/>
          <w:szCs w:val="20"/>
        </w:rPr>
        <w:t>oraz udostępniania informacji</w:t>
      </w:r>
      <w:r w:rsidRPr="00DD42A1">
        <w:rPr>
          <w:rFonts w:ascii="Arial" w:hAnsi="Arial" w:cs="Arial"/>
          <w:sz w:val="20"/>
          <w:szCs w:val="20"/>
        </w:rPr>
        <w:t xml:space="preserve"> i materiałów będących w posiadaniu resortu obrony narodowej, a stanowiących informację publiczną lub informację przetworzoną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rozumieniu przepisów o dostępie   do informacji publicznej.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Dopuszczalny jest udział w posiedzeniach i konferencjach organizowanych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współorganizowanych przez organizacje międzynarodowe, których członkiem jest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Rzeczpospolita Polska, a w szczególności przez Organizację Traktatu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Północnoatlantyckiego lub Unię Europejską, odbywających się z udziałem wykonawców,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a także w przedsięwzięciach realizowanych przez komórki lub jednostki organizacyjne,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które wynikają z zaakceptowanego rocznego planu współpracy międzynarodowej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resortu obrony narodowej.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4. Zaangażowanie w inne niż wymienione w ust. 1-3 przedsięwzięcia z udziałem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wykonawców, w tym w szczególności konferencje, seminaria, sympozja </w:t>
      </w:r>
      <w:r w:rsidR="00DD42A1">
        <w:rPr>
          <w:rFonts w:ascii="Arial" w:hAnsi="Arial" w:cs="Arial"/>
          <w:sz w:val="20"/>
          <w:szCs w:val="20"/>
        </w:rPr>
        <w:t>–</w:t>
      </w:r>
      <w:r w:rsidRPr="00DD42A1">
        <w:rPr>
          <w:rFonts w:ascii="Arial" w:hAnsi="Arial" w:cs="Arial"/>
          <w:sz w:val="20"/>
          <w:szCs w:val="20"/>
        </w:rPr>
        <w:t xml:space="preserve"> dopuszczalne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jest wyłącznie po uzyskaniu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od organizatora informacji zgodnej z wzorem zapytania,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zawartym w załączniku Nr 1 do Zasad postępowania w kontaktach z wykonawcami oraz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udzieleniu pisemnej zgody dyrektora (szefa, komendanta, kierownika, dowódcy, prezesa) komórki lub jednostki organizacyjnej na uczestnictwo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takim przedsięwzięciu.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W przypadku chęci uczestnictwa dyrektora (szefa, komendanta, kierownika, dowódcy,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prezesa)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przedsięwzięciu z udziałem wykonawców, pisemną zgodę wydaje jego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bezpośredni przełożony.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5. Obowiązki, o których mowa w ust. 4, nie dotyczą przypadku, gdy organizatorem,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lub współorganizatorem przedsięwzięcia jest Ministerstwo Obrony Narodowej lub inne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instytucje krajowej administracji rządowej.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§ 6</w:t>
      </w:r>
      <w:r w:rsidRPr="00DD42A1">
        <w:rPr>
          <w:rFonts w:ascii="Arial" w:hAnsi="Arial" w:cs="Arial"/>
          <w:sz w:val="20"/>
          <w:szCs w:val="20"/>
        </w:rPr>
        <w:t>. 1. Wszelkie spotkania z wykonawcami, jeżeli nie mają charakteru: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przedsięwzięć wymienionych w § 5 ust. 1-3, lub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konferencji, seminariów lub sympozjów wymienionych w § 5 ust. 4 i 5, lub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spotkań towarzyskich, odbywających się poza godzinami pracy, podczas których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nie poruszano żadnych kwestii służbowych, lub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4) 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Utrwalenie przebiegu spotkania z wykonawcami za pomocą urządzeń i środków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technicznych służących do utrwalania dźwięku albo obrazu i dźwięku, zwane dalej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„zapisem”, następuje po uprzednim uzyskaniu zgody wykonawcy na taki sposób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utrwalenia przebiegu spotkania.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Niedopuszczalne jest kontynuowanie spotkania z wykonawcą, który nie wyraził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zgody na utrwalenie jego przebiegu, przy jednoczesnym braku możliwości zapewnienia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udziału dwóch osób w spotkaniu,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o którym mowa w ust. 1.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4. Zapis następuje za pomocą urządzeń i środków technicznych wykorzystujących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technikę cyfrową, zapewniającą: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integralność zapisu;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kopiowanie zapisu pomiędzy urządzeniami, środkami technicznymi 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informatycznymi nośnikami danych;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zabezpieczenie zapisu, w szczególności przed utratą lub nieuzasadnioną zmianą;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4) odtworzenie zapisu także przy użyciu urządzeń i środków technicznych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korygujących lub wzmacniających utrwalony dźwięk lub obraz;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5) udostępnienie zapisu na informatycznym nośniku danych;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6) możliwość bieżącej kontroli dokonywanego zapisu.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5. Informatyczne nośniki danych na których dokonano zapisu podlegają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zdeponowaniu w kancelarii komórki lub jednostki organizacyjnej, której pracownik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żołnierz brał udział w spotkaniu z wykonawcą, gdzie następnie są archiwizowane przez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okres 3 lat.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4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Sponsorowanie przedsięwzięć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7. </w:t>
      </w:r>
      <w:r w:rsidRPr="00DD42A1">
        <w:rPr>
          <w:rFonts w:ascii="Arial" w:hAnsi="Arial" w:cs="Arial"/>
          <w:sz w:val="20"/>
          <w:szCs w:val="20"/>
        </w:rPr>
        <w:t>Z zastrzeżeniem § 5 ust. 1-3, niedopuszczalne jest, aby przedsięwzięcia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organizowane lub współorganizowane przez komórki lub jednostki organizacyjne były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finansowane, współfinansowane lub w inny sposób materialnie wspierane przez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wykonawców, chyba że jest to związane bezpośrednio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z koniecznością pokrycia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kosztów wynikających z uczestnictwa wykonawcy w danym przedsięwzięciu.</w:t>
      </w:r>
    </w:p>
    <w:p w:rsidR="004F01DF" w:rsidRPr="00DD42A1" w:rsidRDefault="004F01DF" w:rsidP="00DD42A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lastRenderedPageBreak/>
        <w:t>Rozdział 5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Prezenty, materiały promocyjne i informacyjne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8. </w:t>
      </w:r>
      <w:r w:rsidRPr="00DD42A1">
        <w:rPr>
          <w:rFonts w:ascii="Arial" w:hAnsi="Arial" w:cs="Arial"/>
          <w:sz w:val="20"/>
          <w:szCs w:val="20"/>
        </w:rPr>
        <w:t>1. Niedopuszczalne jest przyjmowanie od wykonawców prezentów w postaci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jakichkolwiek korzyści majątkowych lub osobistych.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Dopuszczalne jest przyjmowanie materiałów promocyjnych o znikomej wartości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handlowej.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Dopuszczalne i zalecane jest przyjmowanie materiałów informacyjnych.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4. Dopuszcza się eksponowanie w salach konferencyjnych oraz w innych miejscach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powszechnie dostępnych na terenie komórek i jednostek organizacyjnych otrzymanych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od wykonawców materiałów promujących Siły Zbrojne Rzeczypospolitej Polskiej.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5. Niewskazane jest używanie na terenie komórek i jednostek organizacyjnych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materiałów i oznaczeń promujących wykonawców, w tym także materiałów biurowych.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6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Kontakty towarzyskie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9. </w:t>
      </w:r>
      <w:r w:rsidRPr="00DD42A1">
        <w:rPr>
          <w:rFonts w:ascii="Arial" w:hAnsi="Arial" w:cs="Arial"/>
          <w:sz w:val="20"/>
          <w:szCs w:val="20"/>
        </w:rPr>
        <w:t>1. Kontakty towarzyskie z wykonawcami, nawiązane zanim powstały relacje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wynikające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z wykonywanych obowiązków mogą być kontynuowane, przy zachowaniu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zasad określonych w § 3 niniejszego załącznika.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W przypadkach innych niż określone w ust. 1, nie zaleca się nawiązywania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kontaktów towarzyskich z wykonawcami.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7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Najem i użyczanie lokali oraz terenów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10. </w:t>
      </w:r>
      <w:r w:rsidRPr="00DD42A1">
        <w:rPr>
          <w:rFonts w:ascii="Arial" w:hAnsi="Arial" w:cs="Arial"/>
          <w:sz w:val="20"/>
          <w:szCs w:val="20"/>
        </w:rPr>
        <w:t>Dopuszczalne jest wynajmowanie lub użyczanie wykonawcom lokali i terenów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resortu obrony narodowej w celu: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przeprowadzenia prezentacji lub pokazów na rzecz komórek lub jednostek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organizacyjnych;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przeprowadzenia prezentacji lub pokazów organizowanych przez krajowe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przedsiębiorstwa sektora obronnego dla odbiorców zagranicznych;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realizowania zadań przez Agencję Mienia Wojskowego</w:t>
      </w:r>
      <w:r w:rsidR="00DD42A1">
        <w:rPr>
          <w:rFonts w:ascii="Arial" w:hAnsi="Arial" w:cs="Arial"/>
          <w:sz w:val="20"/>
          <w:szCs w:val="20"/>
        </w:rPr>
        <w:t>, wynikających</w:t>
      </w:r>
      <w:r w:rsidRPr="00DD42A1">
        <w:rPr>
          <w:rFonts w:ascii="Arial" w:hAnsi="Arial" w:cs="Arial"/>
          <w:sz w:val="20"/>
          <w:szCs w:val="20"/>
        </w:rPr>
        <w:t xml:space="preserve"> z odrębnych przepisów.</w:t>
      </w: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8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Prezentacje, pokazy i referencje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11. </w:t>
      </w:r>
      <w:r w:rsidRPr="00DD42A1">
        <w:rPr>
          <w:rFonts w:ascii="Arial" w:hAnsi="Arial" w:cs="Arial"/>
          <w:sz w:val="20"/>
          <w:szCs w:val="20"/>
        </w:rPr>
        <w:t>1. Działania informacyjne, z wyłączeniem oficjalnej korespondencji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dokonywanej w formie pisemnej lub realizowanej przy pomocy faksu albo służbowej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poczty elektronicznej, powinny być przeprowadzane przez wykonawców w formie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oficjalnych prezentacji lub pokazów.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Wskazane jest, aby prezentacje lub pokazy odbywały się na terenie komórek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i jednostek organizacyjnych lub podczas targów.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W przypadku, gdyby koszty prezentacji lub pokazu były zbyt wysokie dla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wykonawcy, bądź też gdyby prezentacja lub pokaz były ze względów technicznych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organizacyjnych znacznym utrudnieniem, dopuszczalne jest ich przeprowadzenie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u wykonawcy na rzecz oficjalnej delegacji komórek lub jednostek organizacyjnych.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4. Niedopuszczalne jest obciążanie Skarbu Państwa – Ministra Obrony Narodowej,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lub państwowej osoby prawnej kosztami organizowanych prezentacji lub pokazów,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 wyłączeniem opłat z tytułu zużytych mediów i wstawek konferencyjnych.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5. W celu zbierania niezbędnych doświadczeń i informacji dyrektorzy (szefowie,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komendanci, kierownicy, dowódcy, prezesi) komórek i jednostek organizacyjnych mogą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za pisemną zgodą bezpośredniego przełożonego organizować prezentacje i pokazy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 udziałem wykonawców.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6. Dyrektor (szef, komendant, kierownik, dowódca, prezes) komórki lub jednostki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organizacyjnej odpowiedzialnej za organizację przedsięwzięcia, o którym mowa w ust.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5, dotyczącego sprzętu wojskowego, w terminie 14 dni od dnia jego zakończenia,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przekazuje Dyrektorowi Departamentu Polityki Zbrojeniowej notatkę o tym wydarzeniu,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zgodnie ze wzorem stanowiącym załącznik Nr 2 do Zasad postępowania w kontaktach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 wykonawcami.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7. Wskazane jest zamieszczanie przez komórki i jednostki organizacyjne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 odpowiednim wyprzedzeniem na własnych stronach internetowych informacji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 zamiarze organizacji lub możliwości przeprowadzenia prezentacji lub pokazu,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dotyczącego konkretnych grup asortymentowych sprzętu lub usług, w celu umożliwienia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jak największej grupie wykonawców zgłoszenia swojego udziału w tego typu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wydarzeniach.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12. </w:t>
      </w:r>
      <w:r w:rsidRPr="00DD42A1">
        <w:rPr>
          <w:rFonts w:ascii="Arial" w:hAnsi="Arial" w:cs="Arial"/>
          <w:sz w:val="20"/>
          <w:szCs w:val="20"/>
        </w:rPr>
        <w:t>1. Dopuszczalne jest udzielenie wykonawcy pozytywnych referencji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(poświadczenia) w związku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z należytym wykonaniem przez niego umowy.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Referencji, o których mowa w ust. 1, udziela w formie pisemnej zamawiający po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uprzednim ustaleniu należytego wykonania umowy.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lastRenderedPageBreak/>
        <w:t>3. Niedopuszczalne jest udzielanie referencji, o których mowa w ust. 1,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wykonawcom, w stosunku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do których zamawiający uprawniony jest do zgłoszenia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roszczeń z tytułu niewykonania lub nienależytego wykonania umowy, której mają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dotyczyć referencje.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9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Faworyzowanie i konflikt interesów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13. </w:t>
      </w:r>
      <w:r w:rsidRPr="00DD42A1">
        <w:rPr>
          <w:rFonts w:ascii="Arial" w:hAnsi="Arial" w:cs="Arial"/>
          <w:sz w:val="20"/>
          <w:szCs w:val="20"/>
        </w:rPr>
        <w:t>1. Niedopuszczalne jest faworyzowanie wykonawcy, polegające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 szczególności na: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wcześniejszym udzielaniu mu informacji,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nieuzasadnionym ograniczeniu innym wykonawcom dostępu do informacji– które może stawiać go w uprzywilejowanej pozycji w stosunku do innych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wykonawców.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Wskazane jest, aby pracownicy i żołnierze komórek i jednostek organizacyjnych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oraz osoby fizyczne świadczące pracę na podstawie umów cywilnoprawnych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w Ministerstwie Obrony Narodowej lub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jednostkach organizacyjnych, informowali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odpowiednio bezpośrednich przełożonych lub zamawiających o relacjach prawnych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faktycznych, w których ich interes prywatny (osobisty lub majątkowy), wynikający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 powiązań z konkretnym wykonawcą, wpływa, bądź może wpływać na obiektywne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i bezstronne wykonywanie powierzonych obowiązków (realny bądź potencjalny konflikt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interesów) lub też może być on postrzegany przez opinię publiczną jako znajdujący się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w konflikcie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z obiektywnym i bezstronnym wykonywaniem realizowanych przez nich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obowiązków (postrzegalny konflikt interesów).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Przez konflikt interesów należy rozumieć, w szczególności posiadanie powiązań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 charakterze finansowym, rodzinnym lub towarzyskim z wykonawcą.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4. Dyrektor (szef, komendant, kierownik, dowódca, prezes) komórki lub jednostki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organizacyjnej dysponujący wiarygodną informacją o realnym, potencjalnym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postrzegalnym konflikcie interesów podległego mu pracownika lub żołnierza komórki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jednostki organizacyjnej, bądź osoby fizycznej świadczącej pracę na podstawie umów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cywilnoprawnych w Ministerstwie Obrony Narodowej lub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jednostkach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organizacyjnych, rozstrzyga niezwłocznie o potrzebie podjęcia czynności zaradczych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celu wyeliminowania lub ograniczenia możliwości zaistnienia konfliktu interesów.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5. Czynnością zaradczą, o której mowa w ust. 4, może być w szczególności: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wydanie dyspozycji o konieczności udziału minimum dwóch osób w realizacji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określonych czynności (zasada „wielu par oczu”), lub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2) włączenie dodatkowych mechanizmów nadzorczych, w tym kontrolnych, lub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sprawozdawczych w realizacji określonych czynności, lub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wyłączenie osoby pozostającej w konflikcie interesów z udziału w określonej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czynności, lub</w:t>
      </w:r>
    </w:p>
    <w:p w:rsidR="00AA2A64" w:rsidRPr="00DD42A1" w:rsidRDefault="00AA2A64" w:rsidP="00DD42A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4) doprowadzenie do rozwiązania umowy cywilnoprawnej zawartej z osobą fizyczną,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 której mowa w ust. 2.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6. W przypadku postrzegalnego lub potencjalnego konfliktu interesów dyrektor (szef,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komendant, kierownik, dowódca, prezes) komórki lub jednostki organizacyjnej może nie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podejmować żadnej czynności zaradczej, jeżeli w pisemnej notatce, zarejestrowanej w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kancelarii potwierdzi, że konflikt ten jest w jego ocenie nieistotny z punktu widzenia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prawidłowego działania danej komórki lub jednostki organizacyjnej, a samo ujawnienie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go przez osobę, pozostającą w konflikcie interesów jest wystarczające do jego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skutecznej kontroli.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7. W przypadku, gdy konflikt interesów dotyczy dyrektora (szefa, komendanta,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kierownika, dowódcy, prezesa) komórki lub jednostki organizacyjnej, o potrzebie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podjęcia czynności zaradczych w celu wyeliminowania lub ograniczenia możliwości jego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zaistnienia, decyduje bezpośredni przełożony tej osoby. Przepisy ust. 2-6 stosuje się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odpowiednio.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10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Sprawozdawczość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14. </w:t>
      </w:r>
      <w:r w:rsidRPr="00DD42A1">
        <w:rPr>
          <w:rFonts w:ascii="Arial" w:hAnsi="Arial" w:cs="Arial"/>
          <w:sz w:val="20"/>
          <w:szCs w:val="20"/>
        </w:rPr>
        <w:t>1. Z wszelkich kontaktów z wykonawcami, osoby biorące w nich udział,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sporządzają notatkę zawierającą informacje odnośnie: stron, celu, inicjatora, formy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kontaktu lub miejsca spotkania oraz faktu udokumentowania jego przebiegu za pomocą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urządzeń i środków technicznych służących do utrwalania dźwięku albo obrazu 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dźwięku, a w przypadku gdy przebieg spotkania nie został w ten sposób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udokumentowany – również szczegółowych danych uzyskanych od wykonawcy i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przekazanych wykonawcy. Istnieje możliwość sporządzenia wspólnej notatki przez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osoby uczestniczące w kontaktach z wykonawcami.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Notatkę, o której mowa w ust. 1, sporządza się również w przypadku kontaktów z</w:t>
      </w:r>
      <w:r w:rsidR="00DD42A1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podmiotami zainteresowanymi nabyciem nieruchomości Skarbu Państwa lub mienia</w:t>
      </w:r>
      <w:r w:rsidR="009C4D4C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ruchomego o wartości księgowej przekraczającej 10.000 złotych.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Treść notatki zamieszcza się w terminie 14 dni od dnia przeprowadzenia kontaktu</w:t>
      </w:r>
      <w:r w:rsidR="009C4D4C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 wewnętrznej sieci elektronicznej w zakładce pod nazwą „kontakty z wykonawcami”.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lastRenderedPageBreak/>
        <w:t>4. Obowiązek, o którym mowa w ust. 1 i 3, nie dotyczy: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1) czynności zamawiającego, w związku z postępowaniem o udzielenie zamówienia od chwili zamieszczenia ogłoszenia o postępowani</w:t>
      </w:r>
      <w:r w:rsidR="009C4D4C">
        <w:rPr>
          <w:rFonts w:ascii="Arial" w:hAnsi="Arial" w:cs="Arial"/>
          <w:sz w:val="20"/>
          <w:szCs w:val="20"/>
        </w:rPr>
        <w:t>u lub skierowania zaproszenia</w:t>
      </w:r>
      <w:r w:rsidRPr="00DD42A1">
        <w:rPr>
          <w:rFonts w:ascii="Arial" w:hAnsi="Arial" w:cs="Arial"/>
          <w:sz w:val="20"/>
          <w:szCs w:val="20"/>
        </w:rPr>
        <w:t xml:space="preserve"> do udziału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postępowaniu w trybie negocjacji, do chwili wyboru wykonawcy, o ile czynności te podejmowane są w ramach prac komisji;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 xml:space="preserve">2) czynności zamawiającego podejmowanych od chwili wyboru wykonawcy do chwili podpisania umowy oraz czynności związanych </w:t>
      </w:r>
      <w:r w:rsidR="009C4D4C">
        <w:rPr>
          <w:rFonts w:ascii="Arial" w:hAnsi="Arial" w:cs="Arial"/>
          <w:sz w:val="20"/>
          <w:szCs w:val="20"/>
        </w:rPr>
        <w:t>z wykonywaniem zawartych umów,</w:t>
      </w:r>
      <w:r w:rsidRPr="00DD42A1">
        <w:rPr>
          <w:rFonts w:ascii="Arial" w:hAnsi="Arial" w:cs="Arial"/>
          <w:sz w:val="20"/>
          <w:szCs w:val="20"/>
        </w:rPr>
        <w:t xml:space="preserve"> o ile czynności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te podejmowane są przez uprzednio pisemnie wyznaczone osoby;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3) kontaktów mających charakter oficjalnej korespondencji dokonywanej w formie pisemnej lub realizowanej przy pomocy faksu albo służbowej poczty elektronicznej;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4) kontaktów mających miejsce w związku z realizacją fazy analityczno koncepcyjnej,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o której mowa w przepisach decyzji w spawie pozys</w:t>
      </w:r>
      <w:r w:rsidR="009C4D4C">
        <w:rPr>
          <w:rFonts w:ascii="Arial" w:hAnsi="Arial" w:cs="Arial"/>
          <w:sz w:val="20"/>
          <w:szCs w:val="20"/>
        </w:rPr>
        <w:t>kiwania sprzętu wojskowego</w:t>
      </w:r>
      <w:r w:rsidRPr="00DD42A1">
        <w:rPr>
          <w:rFonts w:ascii="Arial" w:hAnsi="Arial" w:cs="Arial"/>
          <w:sz w:val="20"/>
          <w:szCs w:val="20"/>
        </w:rPr>
        <w:t xml:space="preserve"> i usług dla Sił Zbrojnych Rzeczypospolitej Polskiej, o ile kontakty te zostaną opisane w dokumentacji, która powstanie w ramach tej fazy, pisemnej notatce lub protokole spotkania, bądź też ich przebieg zostanie utrwalony za pomocą urządzeń i środków technicznych służących do utrwalania dźwięku albo obrazu i dźwięku;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5) kontaktów dotyczących jedynie zagadnień o charakterze organizacyjnoporządkowym;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6) kontaktów o charakterze wyłącznie towarzyskim, odbyw</w:t>
      </w:r>
      <w:r w:rsidR="009C4D4C">
        <w:rPr>
          <w:rFonts w:ascii="Arial" w:hAnsi="Arial" w:cs="Arial"/>
          <w:sz w:val="20"/>
          <w:szCs w:val="20"/>
        </w:rPr>
        <w:t>ających</w:t>
      </w:r>
      <w:r w:rsidRPr="00DD42A1">
        <w:rPr>
          <w:rFonts w:ascii="Arial" w:hAnsi="Arial" w:cs="Arial"/>
          <w:sz w:val="20"/>
          <w:szCs w:val="20"/>
        </w:rPr>
        <w:t xml:space="preserve"> się poza godzinami pracy,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trakcie których nie poruszano żadnych kwestii służbowych;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7) prezentacji i pokazów organizowanych na podstawie § 11 ust. 5;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8) kontaktów realizowanych w celu wykonywania ob</w:t>
      </w:r>
      <w:r w:rsidR="009C4D4C">
        <w:rPr>
          <w:rFonts w:ascii="Arial" w:hAnsi="Arial" w:cs="Arial"/>
          <w:sz w:val="20"/>
          <w:szCs w:val="20"/>
        </w:rPr>
        <w:t>owiązków przewidzianych</w:t>
      </w:r>
      <w:r w:rsidRPr="00DD42A1">
        <w:rPr>
          <w:rFonts w:ascii="Arial" w:hAnsi="Arial" w:cs="Arial"/>
          <w:sz w:val="20"/>
          <w:szCs w:val="20"/>
        </w:rPr>
        <w:t xml:space="preserve"> w ustawie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o niektórych umowach zawieranych w związku z realizacją zamówień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 xml:space="preserve">o podstawowym znaczeniu dla bezpieczeństwa państwa, o ile kontakty te zostaną opisane </w:t>
      </w:r>
      <w:r w:rsidR="006B6C66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w pisemnej notatce lub protokole spotkania, bądź też ich przebieg zostanie utrwalony za pomocą urządzeń i środków technicznych służących do utrwalania dźwięku albo obrazu i dźwięku;</w:t>
      </w:r>
    </w:p>
    <w:p w:rsidR="00AA2A64" w:rsidRPr="00DD42A1" w:rsidRDefault="00AA2A64" w:rsidP="00AA2A6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9) kontaktów realizowanych w celu wykonania obowi</w:t>
      </w:r>
      <w:r w:rsidR="009C4D4C">
        <w:rPr>
          <w:rFonts w:ascii="Arial" w:hAnsi="Arial" w:cs="Arial"/>
          <w:sz w:val="20"/>
          <w:szCs w:val="20"/>
        </w:rPr>
        <w:t>ązków przewidzianych</w:t>
      </w:r>
      <w:r w:rsidRPr="00DD42A1">
        <w:rPr>
          <w:rFonts w:ascii="Arial" w:hAnsi="Arial" w:cs="Arial"/>
          <w:sz w:val="20"/>
          <w:szCs w:val="20"/>
        </w:rPr>
        <w:t xml:space="preserve">  w przepisach decyzji w spawie zasad funkcjonowania systemu zapewnienia jakości wyrobów obronnych, o ile kontakty te zostaną opisane w pisemnej notatce lub protokole spotkania, bądź też ich przebieg zostanie</w:t>
      </w:r>
      <w:r w:rsidR="009C4D4C">
        <w:rPr>
          <w:rFonts w:ascii="Arial" w:hAnsi="Arial" w:cs="Arial"/>
          <w:sz w:val="20"/>
          <w:szCs w:val="20"/>
        </w:rPr>
        <w:t xml:space="preserve"> utrwalony za pomocą urządzeń</w:t>
      </w:r>
      <w:r w:rsidRPr="00DD42A1">
        <w:rPr>
          <w:rFonts w:ascii="Arial" w:hAnsi="Arial" w:cs="Arial"/>
          <w:sz w:val="20"/>
          <w:szCs w:val="20"/>
        </w:rPr>
        <w:t xml:space="preserve"> i środków technicznych służących do utrwalania dźwięku albo obrazu i dźwięku.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DD42A1">
        <w:rPr>
          <w:rFonts w:ascii="Arial" w:hAnsi="Arial" w:cs="Arial"/>
          <w:sz w:val="20"/>
          <w:szCs w:val="20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486350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o ochronie informacji niejawnych.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AA2A64" w:rsidRPr="00DD42A1" w:rsidRDefault="00AA2A64" w:rsidP="00AA2A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Rozdział 11</w:t>
      </w:r>
    </w:p>
    <w:p w:rsidR="00AA2A64" w:rsidRPr="00DD42A1" w:rsidRDefault="00AA2A64" w:rsidP="00AF77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>Wykładnia postanowień decyzji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b/>
          <w:bCs/>
          <w:sz w:val="20"/>
          <w:szCs w:val="20"/>
        </w:rPr>
        <w:t xml:space="preserve">§ 15. </w:t>
      </w:r>
      <w:r w:rsidRPr="00DD42A1">
        <w:rPr>
          <w:rFonts w:ascii="Arial" w:hAnsi="Arial" w:cs="Arial"/>
          <w:sz w:val="20"/>
          <w:szCs w:val="20"/>
        </w:rPr>
        <w:t>1. Podmioty zainteresowane mogą zwrócić się z pis</w:t>
      </w:r>
      <w:r w:rsidR="009C4D4C">
        <w:rPr>
          <w:rFonts w:ascii="Arial" w:hAnsi="Arial" w:cs="Arial"/>
          <w:sz w:val="20"/>
          <w:szCs w:val="20"/>
        </w:rPr>
        <w:t>emnym wnioskiem</w:t>
      </w:r>
      <w:r w:rsidRPr="00DD42A1">
        <w:rPr>
          <w:rFonts w:ascii="Arial" w:hAnsi="Arial" w:cs="Arial"/>
          <w:sz w:val="20"/>
          <w:szCs w:val="20"/>
        </w:rPr>
        <w:t xml:space="preserve"> do Dyrektora Biura </w:t>
      </w:r>
      <w:r w:rsidR="00486350">
        <w:rPr>
          <w:rFonts w:ascii="Arial" w:hAnsi="Arial" w:cs="Arial"/>
          <w:sz w:val="20"/>
          <w:szCs w:val="20"/>
        </w:rPr>
        <w:br/>
      </w:r>
      <w:r w:rsidRPr="00DD42A1">
        <w:rPr>
          <w:rFonts w:ascii="Arial" w:hAnsi="Arial" w:cs="Arial"/>
          <w:sz w:val="20"/>
          <w:szCs w:val="20"/>
        </w:rPr>
        <w:t>do Spraw Procedur Antykorupcyjnych</w:t>
      </w:r>
      <w:r w:rsidR="009C4D4C">
        <w:rPr>
          <w:rFonts w:ascii="Arial" w:hAnsi="Arial" w:cs="Arial"/>
          <w:sz w:val="20"/>
          <w:szCs w:val="20"/>
        </w:rPr>
        <w:t xml:space="preserve"> o wydanie pisemnej opinii</w:t>
      </w:r>
      <w:r w:rsidRPr="00DD42A1">
        <w:rPr>
          <w:rFonts w:ascii="Arial" w:hAnsi="Arial" w:cs="Arial"/>
          <w:sz w:val="20"/>
          <w:szCs w:val="20"/>
        </w:rPr>
        <w:t xml:space="preserve"> w sprawie interpretacji postanowień zawartych w decyzji, zwanej dalej "opinią".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2. Podmiot wnioskujący może zastrzec we wniosku, o którym mowa w ust. 1,</w:t>
      </w:r>
      <w:r w:rsidR="009C4D4C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anonimizację danych osobowych.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3. Opinia ma charakter wiążący dla wszystkich komórek i jednostek organizacyjnych.</w:t>
      </w:r>
    </w:p>
    <w:p w:rsidR="00AA2A64" w:rsidRPr="00DD42A1" w:rsidRDefault="00AA2A64" w:rsidP="00AA2A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4. Dyrektor Biura do Spraw Procedur Antykorupcyjnych zamieszcza opinię</w:t>
      </w:r>
      <w:r w:rsidR="009C4D4C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w wewnętrznej sieci elektronicznej (intranet), w zakładce "kontakty z wykonawcami".</w:t>
      </w:r>
    </w:p>
    <w:p w:rsidR="00AA2A64" w:rsidRPr="00DD42A1" w:rsidRDefault="00AA2A64" w:rsidP="009C4D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D42A1">
        <w:rPr>
          <w:rFonts w:ascii="Arial" w:hAnsi="Arial" w:cs="Arial"/>
          <w:sz w:val="20"/>
          <w:szCs w:val="20"/>
        </w:rPr>
        <w:t>5. Dyrektor Biura do Spraw Procedur Antykorupcyjnych może odmówić wydania</w:t>
      </w:r>
      <w:r w:rsidR="009C4D4C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>opinii w sprawach, które były już przedmiotem rozstrzygnięcia lub, w których stan</w:t>
      </w:r>
      <w:r w:rsidR="009C4D4C">
        <w:rPr>
          <w:rFonts w:ascii="Arial" w:hAnsi="Arial" w:cs="Arial"/>
          <w:sz w:val="20"/>
          <w:szCs w:val="20"/>
        </w:rPr>
        <w:t xml:space="preserve"> </w:t>
      </w:r>
      <w:r w:rsidRPr="00DD42A1">
        <w:rPr>
          <w:rFonts w:ascii="Arial" w:hAnsi="Arial" w:cs="Arial"/>
          <w:sz w:val="20"/>
          <w:szCs w:val="20"/>
        </w:rPr>
        <w:t xml:space="preserve">faktyczny ma charakter analogiczny </w:t>
      </w:r>
      <w:r w:rsidR="00486350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DD42A1">
        <w:rPr>
          <w:rFonts w:ascii="Arial" w:hAnsi="Arial" w:cs="Arial"/>
          <w:sz w:val="20"/>
          <w:szCs w:val="20"/>
        </w:rPr>
        <w:t>do uprzednio opiniowanej sprawy.</w:t>
      </w:r>
    </w:p>
    <w:p w:rsidR="00AA2A64" w:rsidRPr="00DD42A1" w:rsidRDefault="00AA2A64" w:rsidP="00AA2A64">
      <w:pPr>
        <w:rPr>
          <w:rFonts w:ascii="Arial" w:hAnsi="Arial" w:cs="Arial"/>
          <w:sz w:val="20"/>
          <w:szCs w:val="20"/>
        </w:rPr>
      </w:pPr>
    </w:p>
    <w:p w:rsidR="00AF72E2" w:rsidRPr="00DD42A1" w:rsidRDefault="00AF72E2">
      <w:pPr>
        <w:rPr>
          <w:rFonts w:ascii="Arial" w:hAnsi="Arial" w:cs="Arial"/>
          <w:sz w:val="20"/>
          <w:szCs w:val="20"/>
        </w:rPr>
      </w:pPr>
    </w:p>
    <w:sectPr w:rsidR="00AF72E2" w:rsidRPr="00DD42A1" w:rsidSect="00DD42A1">
      <w:headerReference w:type="default" r:id="rId7"/>
      <w:foot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64B" w:rsidRDefault="005C364B">
      <w:r>
        <w:separator/>
      </w:r>
    </w:p>
  </w:endnote>
  <w:endnote w:type="continuationSeparator" w:id="0">
    <w:p w:rsidR="005C364B" w:rsidRDefault="005C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57" w:rsidRDefault="004F01D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2A65">
      <w:rPr>
        <w:noProof/>
      </w:rPr>
      <w:t>5</w:t>
    </w:r>
    <w:r>
      <w:rPr>
        <w:noProof/>
      </w:rPr>
      <w:fldChar w:fldCharType="end"/>
    </w:r>
  </w:p>
  <w:p w:rsidR="005F7657" w:rsidRDefault="005C3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64B" w:rsidRDefault="005C364B">
      <w:r>
        <w:separator/>
      </w:r>
    </w:p>
  </w:footnote>
  <w:footnote w:type="continuationSeparator" w:id="0">
    <w:p w:rsidR="005C364B" w:rsidRDefault="005C3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FD" w:rsidRDefault="00B057FD" w:rsidP="00B057FD">
    <w:pPr>
      <w:pStyle w:val="Nagwek"/>
      <w:ind w:firstLine="6379"/>
    </w:pPr>
    <w:r w:rsidRPr="00DC5653">
      <w:rPr>
        <w:rFonts w:ascii="Arial" w:hAnsi="Arial" w:cs="Arial"/>
        <w:b/>
        <w:color w:val="000000"/>
        <w:u w:val="single"/>
      </w:rPr>
      <w:t xml:space="preserve">Załącznik nr </w:t>
    </w:r>
    <w:r>
      <w:rPr>
        <w:rFonts w:ascii="Arial" w:hAnsi="Arial" w:cs="Arial"/>
        <w:b/>
        <w:u w:val="single"/>
      </w:rPr>
      <w:t>1</w:t>
    </w:r>
    <w:r w:rsidRPr="00DC5653">
      <w:rPr>
        <w:rFonts w:ascii="Arial" w:hAnsi="Arial" w:cs="Arial"/>
        <w:b/>
        <w:color w:val="000000"/>
        <w:u w:val="single"/>
      </w:rPr>
      <w:t xml:space="preserve"> do SWZ</w:t>
    </w:r>
    <w:r w:rsidRPr="00DC5653">
      <w:rPr>
        <w:rFonts w:ascii="Arial" w:hAnsi="Arial" w:cs="Arial"/>
        <w:i/>
        <w:color w:val="000000"/>
        <w:u w:val="single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C5"/>
    <w:rsid w:val="001F2A65"/>
    <w:rsid w:val="00305D68"/>
    <w:rsid w:val="003C149E"/>
    <w:rsid w:val="00486350"/>
    <w:rsid w:val="004F01DF"/>
    <w:rsid w:val="005C364B"/>
    <w:rsid w:val="00621EC5"/>
    <w:rsid w:val="006B6C66"/>
    <w:rsid w:val="006E70E2"/>
    <w:rsid w:val="00765CB7"/>
    <w:rsid w:val="009C4D4C"/>
    <w:rsid w:val="009F1DC9"/>
    <w:rsid w:val="00A603F1"/>
    <w:rsid w:val="00AA2A64"/>
    <w:rsid w:val="00AC3779"/>
    <w:rsid w:val="00AF72E2"/>
    <w:rsid w:val="00AF7795"/>
    <w:rsid w:val="00B057FD"/>
    <w:rsid w:val="00B2101D"/>
    <w:rsid w:val="00B674F1"/>
    <w:rsid w:val="00C431ED"/>
    <w:rsid w:val="00D80137"/>
    <w:rsid w:val="00DD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BB7B9"/>
  <w15:docId w15:val="{AB735A26-5D7C-423A-928C-7DED4C41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A2A6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A2A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1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E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5D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5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7128D5-E96C-42E4-8F87-9CCFE63AF5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2772</Words>
  <Characters>16636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Saryczew Anna</dc:creator>
  <cp:lastModifiedBy>Majdan Marta</cp:lastModifiedBy>
  <cp:revision>5</cp:revision>
  <cp:lastPrinted>2021-12-02T10:46:00Z</cp:lastPrinted>
  <dcterms:created xsi:type="dcterms:W3CDTF">2024-10-01T08:34:00Z</dcterms:created>
  <dcterms:modified xsi:type="dcterms:W3CDTF">2024-10-01T08:38:00Z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583e0f6b-6b1c-40c6-a648-da6dd8017811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DESHy5M8M+HyL0s+hLeG8M1BpwPe+vIf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