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801"/>
      </w:tblGrid>
      <w:tr w:rsidR="00EB22A9" w:rsidRPr="003A2EF9" w14:paraId="698148C6" w14:textId="77777777" w:rsidTr="00F6416F">
        <w:trPr>
          <w:trHeight w:val="1000"/>
          <w:jc w:val="center"/>
        </w:trPr>
        <w:tc>
          <w:tcPr>
            <w:tcW w:w="10631" w:type="dxa"/>
            <w:gridSpan w:val="2"/>
            <w:vAlign w:val="center"/>
          </w:tcPr>
          <w:p w14:paraId="1029959C" w14:textId="77777777" w:rsidR="001E1103" w:rsidRDefault="00E113EC" w:rsidP="001E110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3EC">
              <w:rPr>
                <w:rFonts w:ascii="Arial" w:hAnsi="Arial" w:cs="Arial"/>
                <w:b/>
                <w:sz w:val="22"/>
                <w:szCs w:val="22"/>
              </w:rPr>
              <w:t xml:space="preserve">Komputer </w:t>
            </w:r>
            <w:r w:rsidR="00137C80">
              <w:rPr>
                <w:rFonts w:ascii="Arial" w:hAnsi="Arial" w:cs="Arial"/>
                <w:b/>
                <w:sz w:val="22"/>
                <w:szCs w:val="22"/>
              </w:rPr>
              <w:t>specjalny</w:t>
            </w:r>
          </w:p>
          <w:p w14:paraId="0BF24D04" w14:textId="6660C936" w:rsidR="001E1103" w:rsidRPr="001E1103" w:rsidRDefault="001E1103" w:rsidP="001E110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E1103">
              <w:rPr>
                <w:rFonts w:ascii="Arial" w:hAnsi="Arial" w:cs="Arial"/>
                <w:bCs/>
                <w:sz w:val="22"/>
                <w:szCs w:val="22"/>
              </w:rPr>
              <w:t>(stacjonarny, graficzny)</w:t>
            </w:r>
          </w:p>
        </w:tc>
      </w:tr>
      <w:tr w:rsidR="00C0103C" w:rsidRPr="007E2F0F" w14:paraId="5301927D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30" w:type="dxa"/>
            <w:shd w:val="clear" w:color="auto" w:fill="auto"/>
            <w:vAlign w:val="center"/>
          </w:tcPr>
          <w:p w14:paraId="0C826F19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02ECD705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Wymagane parametry techniczne komputerów</w:t>
            </w:r>
          </w:p>
        </w:tc>
      </w:tr>
      <w:tr w:rsidR="00C0103C" w:rsidRPr="007E2F0F" w14:paraId="1AFA2C81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2D59C007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Zastosowanie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67289572" w14:textId="77777777" w:rsidR="00C0103C" w:rsidRPr="002E6C41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C0103C" w:rsidRPr="007E2F0F" w14:paraId="06B77151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0A8A0E88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6D5C3DB0" w14:textId="46CE0404" w:rsidR="00C0103C" w:rsidRPr="002E6C41" w:rsidRDefault="00C0103C" w:rsidP="003B7A3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Procesor dedykowany do pracy w komputerach stacjonarnych. Procesor osiągający w teście </w:t>
            </w:r>
            <w:r w:rsid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„</w:t>
            </w:r>
            <w:proofErr w:type="spellStart"/>
            <w:r w:rsidR="00C93C57" w:rsidRP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="00C93C57" w:rsidRP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- CPU Mark</w:t>
            </w:r>
            <w:r w:rsid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”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wynik co najmniej </w:t>
            </w:r>
            <w:r w:rsidR="009613B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40 9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00 pkt</w:t>
            </w:r>
            <w:r w:rsidR="003B7A3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3B7A39" w:rsidRPr="009613B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zgodnie z załącznikiem A1</w:t>
            </w:r>
            <w:r w:rsidR="003B7A3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03C" w:rsidRPr="007E2F0F" w14:paraId="525989F3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4682E4F3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269624C8" w14:textId="77777777" w:rsidR="00C0103C" w:rsidRPr="002E6C41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64GB DDR5 4800 MHz. Możliwość rozbudowy do min. 128GB. Obsługa pamięci 5333Mhz. </w:t>
            </w:r>
          </w:p>
          <w:p w14:paraId="690DD2B6" w14:textId="77777777" w:rsidR="00C0103C" w:rsidRPr="002E6C41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0103C" w:rsidRPr="007E2F0F" w14:paraId="1DEC7BF8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500E1674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47803E8D" w14:textId="77777777" w:rsidR="00C0103C" w:rsidRPr="002E6C41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Min. dwa dyski M.2 </w:t>
            </w:r>
            <w:proofErr w:type="spellStart"/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 pojemności 2TB każdy, prędkość odczytu min. 7000 MB/s, prędkość zapisu min. 5100 MB/s </w:t>
            </w:r>
          </w:p>
        </w:tc>
      </w:tr>
      <w:tr w:rsidR="00C0103C" w:rsidRPr="007E2F0F" w14:paraId="708AF31F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145C9D48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Wydajność grafiki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400A91DF" w14:textId="786DA443" w:rsidR="00C0103C" w:rsidRPr="002E6C41" w:rsidRDefault="00C0103C" w:rsidP="00C93C5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Dedykowana karta graficzna z 16GB pamięci niewspółdzielonej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61AF3"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osiągająca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w teście </w:t>
            </w:r>
            <w:r w:rsid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„</w:t>
            </w:r>
            <w:proofErr w:type="spellStart"/>
            <w:r w:rsidR="00C93C57" w:rsidRP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="00C93C57" w:rsidRP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- G3D Mark</w:t>
            </w:r>
            <w:r w:rsid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”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wynik co najmniej 3</w:t>
            </w:r>
            <w:r w:rsidR="00DB758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2 2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00 pkt. </w:t>
            </w:r>
            <w:r w:rsid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="00C93C57" w:rsidRPr="00DB7583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zgodnie z załącznikiem A2</w:t>
            </w:r>
            <w:r w:rsid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03C" w:rsidRPr="007E2F0F" w14:paraId="5C98782D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1D9DE7AC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Wyposażenie multimedialne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4DCD6B41" w14:textId="77777777" w:rsidR="00C0103C" w:rsidRPr="007E2F0F" w:rsidRDefault="00C0103C" w:rsidP="00911625">
            <w:pP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Karta dźwiękowa min. dwukanałowa zintegrowana z płytą główną, zgodna z High Definition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ort słuchawek i mikrofonu na przednim panelu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C0103C" w:rsidRPr="007E2F0F" w14:paraId="20161D21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830" w:type="dxa"/>
            <w:shd w:val="clear" w:color="auto" w:fill="auto"/>
            <w:vAlign w:val="center"/>
          </w:tcPr>
          <w:p w14:paraId="60472ED6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25DCB570" w14:textId="77777777" w:rsidR="00C0103C" w:rsidRPr="00962914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Typu Mini Tower z obsługą kart wyłącznie o pełnej wysokości. Umożliwiająca montaż 2 x dysku 3.5” i 4 x dysków 2.5” wewnątrz obudowy. Obudowa fabrycznie przystosowana do pracy w orientacji pionowej. Suma wymiarów obudowy nieprzekraczająca 1 250 mm.</w:t>
            </w:r>
          </w:p>
          <w:p w14:paraId="1F296088" w14:textId="5749B4A7" w:rsidR="00C0103C" w:rsidRPr="00962914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Na panelu przednim i </w:t>
            </w:r>
            <w:r w:rsidR="00861AF3"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tylnym</w:t>
            </w: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zamontowany wentylator chłodzący min. 120mm. </w:t>
            </w:r>
          </w:p>
          <w:p w14:paraId="0586D13F" w14:textId="6483081E" w:rsidR="00C0103C" w:rsidRPr="00962914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3764" w:rsidRPr="007E2F0F" w14:paraId="128A2999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830" w:type="dxa"/>
            <w:shd w:val="clear" w:color="auto" w:fill="auto"/>
            <w:vAlign w:val="center"/>
          </w:tcPr>
          <w:p w14:paraId="392A0531" w14:textId="69FE5894" w:rsidR="00CB3764" w:rsidRPr="007E2F0F" w:rsidRDefault="00CB3764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Zasilanie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1C15FCA6" w14:textId="361E1A99" w:rsidR="00CB3764" w:rsidRPr="00962914" w:rsidRDefault="00CB3764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Zasilacz o mocy min. 8</w:t>
            </w:r>
            <w:r w:rsidR="00DB758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</w:t>
            </w: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0W pracujący w sieci 230V 50/60Hz prądu zmiennego i efektywności min. 85% przy obciążeniu zasilacza na poziomie 50%.</w:t>
            </w:r>
            <w:r w:rsidR="00581A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81A5D" w:rsidRPr="00581A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Oferowany zasilacz musi być nowy, oryginalny, zgodny z dokładnym modelem urządzenia, objęty gwarancją producenta.</w:t>
            </w:r>
          </w:p>
        </w:tc>
      </w:tr>
      <w:tr w:rsidR="00C0103C" w:rsidRPr="007E2F0F" w14:paraId="17775C6B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0B683A28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BIOS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388BC8BA" w14:textId="139D7357" w:rsidR="00C0103C" w:rsidRPr="007E2F0F" w:rsidRDefault="00C0103C" w:rsidP="00911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BIOS zgodny ze specyfikacją UEFI, wyprodukowany przez producenta komputera, zawierający logo producenta komputera lub nazwę producenta komputera lub nazwę modelu oferowanego komputera. Pełna obsługa BIOS za pomocą klawiatury i myszy oraz samej myszy. BIOS wyposażony w automatyczną detekcję zmiany konfiguracji, automatycznie nanoszący zmiany w konfiguracji w szczególności: procesor, wielkość pamięci, pojemność dysku. Możliwość, bez uruchamiania systemu operacyjnego z dysku twardego komputera, bez dodatkowego oprogramowania (w tym również systemu diagnostycznego) i podłączonych do niego urządzeń zewnętrznych odczytania z BIOS informacji o: wersji BIOS, nr seryjnym komputera, ilości zainstalowanej pamięci RAM, prędkości zainstalowanych pamięci RAM, technologii wykonania pamięci, sposobie obsadzeniu slotów pamięci z rozbiciem na wielkości pamięci i banki, typie zainstalowanego procesora, ilości rdzeni zainstalowanego procesora, typowej prędkości zainstalowanego proce</w:t>
            </w:r>
            <w:r w:rsidR="00C93C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sora, minimalnej i maksymalnej </w:t>
            </w: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osiąganej prędkości zainstalowanego procesora, pojemności zainstalowanego lub zainstalowanych dysków twardych, wszystkich urządzeniach podpiętych do dostępnych na płycie głównej portów SATA, MAC adresie zintegrowanej karty sieciowej, zintegrowanym układzie graficznym, kontrolerze audio.</w:t>
            </w:r>
          </w:p>
          <w:p w14:paraId="65A06A40" w14:textId="77777777" w:rsidR="00C0103C" w:rsidRPr="007E2F0F" w:rsidRDefault="00C0103C" w:rsidP="00911625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14:paraId="5618FB8E" w14:textId="77777777" w:rsidR="00C0103C" w:rsidRPr="007E2F0F" w:rsidRDefault="00C0103C" w:rsidP="00911625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owania</w:t>
            </w:r>
            <w:proofErr w:type="spellEnd"/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stacji roboczej z zewnętrznych urządze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ń</w:t>
            </w: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możliwość ustawienia hasła użytkownika umożliwiającego uruchomienie komputera (zabezpieczenie przed nieautoryzowanym uruchomieniem) przy jednoczesnym zdefiniowanym haśle administratora. Użytkownik po wpisaniu swojego hasła jest wstanie zidentyfikować ustawienia BIOS. Możliwość ustawienia haseł użytkownika i administratora składających się z cyfr, małych liter, dużych liter oraz znaków specjalnych. Możliwość włączenia/wyłączenia kontrolera SATA (w tym w szczególności pojedynczo), Możliwość ustawienia portów USB w trybie „no BOOT” (podczas startu komputer nie wykrywa urządzeń </w:t>
            </w:r>
            <w:proofErr w:type="spellStart"/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bootujących</w:t>
            </w:r>
            <w:proofErr w:type="spellEnd"/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typu USB). Możliwość wyłączania portów USB pojedynczo. </w:t>
            </w:r>
          </w:p>
        </w:tc>
      </w:tr>
      <w:tr w:rsidR="00C0103C" w:rsidRPr="007E2F0F" w14:paraId="77E0162B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59212293" w14:textId="77777777" w:rsidR="00C0103C" w:rsidRPr="000E7EEC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7EEC">
              <w:rPr>
                <w:rFonts w:asciiTheme="minorHAnsi" w:hAnsiTheme="minorHAnsi" w:cstheme="minorHAnsi"/>
                <w:b/>
                <w:sz w:val="20"/>
                <w:szCs w:val="20"/>
              </w:rPr>
              <w:t>Wirtualizacja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673859F6" w14:textId="37B5E306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 xml:space="preserve">Sprzętowe wsparcie </w:t>
            </w:r>
            <w:r w:rsidR="00861AF3" w:rsidRPr="007E2F0F">
              <w:rPr>
                <w:rFonts w:asciiTheme="minorHAnsi" w:hAnsiTheme="minorHAnsi" w:cstheme="minorHAnsi"/>
                <w:sz w:val="20"/>
                <w:szCs w:val="20"/>
              </w:rPr>
              <w:t>technologii</w:t>
            </w: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 xml:space="preserve"> wirtualizacji realizowane łącznie w procesorze, chipsecie płyty </w:t>
            </w:r>
            <w:r w:rsidR="00861AF3" w:rsidRPr="007E2F0F">
              <w:rPr>
                <w:rFonts w:asciiTheme="minorHAnsi" w:hAnsiTheme="minorHAnsi" w:cstheme="minorHAnsi"/>
                <w:sz w:val="20"/>
                <w:szCs w:val="20"/>
              </w:rPr>
              <w:t>głównej</w:t>
            </w:r>
            <w:r w:rsidR="00C93C57">
              <w:rPr>
                <w:rFonts w:asciiTheme="minorHAnsi" w:hAnsiTheme="minorHAnsi" w:cstheme="minorHAnsi"/>
                <w:sz w:val="20"/>
                <w:szCs w:val="20"/>
              </w:rPr>
              <w:t xml:space="preserve"> oraz w </w:t>
            </w: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BIOS systemu (możliwość włączenia/wyłączenia sprzętowego wsparcia wirtualizacji dla poszczególnych komponentów systemu).</w:t>
            </w:r>
          </w:p>
        </w:tc>
      </w:tr>
      <w:tr w:rsidR="00C0103C" w:rsidRPr="007E2F0F" w14:paraId="796E6B79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6ABF6DB9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4CE14705" w14:textId="60E87385" w:rsidR="00C0103C" w:rsidRPr="008E3EC8" w:rsidRDefault="00C0103C" w:rsidP="00911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3EC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Zainstalowany system operacyjny Windows 11 Professional, klucz licencyjny Windows 1</w:t>
            </w:r>
            <w:r w:rsidR="00DB758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  <w:r w:rsidRPr="008E3EC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Professional nie musi być zapisany trwale w BIOS, musi umożliwiać instalację systemu operacyjnego na podstawie dołączonego nośnika lub zdalnie po ręcznym wpisaniu klucza licencyjnego.</w:t>
            </w:r>
          </w:p>
        </w:tc>
      </w:tr>
      <w:tr w:rsidR="00C0103C" w:rsidRPr="007E2F0F" w14:paraId="20670C53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1C1DE6F0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51630951" w14:textId="77777777" w:rsidR="008A7379" w:rsidRPr="00884DB7" w:rsidRDefault="008A7379" w:rsidP="008A7379">
            <w:pPr>
              <w:pStyle w:val="Akapitzlist"/>
              <w:numPr>
                <w:ilvl w:val="0"/>
                <w:numId w:val="6"/>
              </w:numPr>
              <w:ind w:left="284" w:hanging="227"/>
              <w:jc w:val="both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884DB7">
              <w:rPr>
                <w:rFonts w:ascii="Arial Nova" w:hAnsi="Arial Nova" w:cstheme="minorHAnsi"/>
                <w:bCs/>
                <w:sz w:val="18"/>
                <w:szCs w:val="18"/>
              </w:rPr>
              <w:t>Certyfikat ISO</w:t>
            </w:r>
            <w:r>
              <w:rPr>
                <w:rFonts w:ascii="Arial Nova" w:hAnsi="Arial Nova" w:cstheme="minorHAnsi"/>
                <w:bCs/>
                <w:sz w:val="18"/>
                <w:szCs w:val="18"/>
              </w:rPr>
              <w:t xml:space="preserve"> </w:t>
            </w:r>
            <w:r w:rsidRPr="00884DB7">
              <w:rPr>
                <w:rFonts w:ascii="Arial Nova" w:hAnsi="Arial Nova" w:cstheme="minorHAnsi"/>
                <w:bCs/>
                <w:sz w:val="18"/>
                <w:szCs w:val="18"/>
              </w:rPr>
              <w:t>9001 dla producenta sprzętu</w:t>
            </w:r>
            <w:r>
              <w:rPr>
                <w:rFonts w:ascii="Arial Nova" w:hAnsi="Arial Nova" w:cstheme="minorHAnsi"/>
                <w:bCs/>
                <w:sz w:val="18"/>
                <w:szCs w:val="18"/>
              </w:rPr>
              <w:t xml:space="preserve"> (</w:t>
            </w:r>
            <w:r w:rsidRPr="00D200E8">
              <w:rPr>
                <w:rFonts w:ascii="Arial Nova" w:hAnsi="Arial Nova"/>
                <w:bCs/>
                <w:color w:val="FF0000"/>
                <w:sz w:val="18"/>
                <w:szCs w:val="18"/>
              </w:rPr>
              <w:t>należy załączyć do oferty</w:t>
            </w:r>
            <w:r>
              <w:rPr>
                <w:rFonts w:ascii="Arial Nova" w:hAnsi="Arial Nova"/>
                <w:bCs/>
                <w:sz w:val="18"/>
                <w:szCs w:val="18"/>
              </w:rPr>
              <w:t>).</w:t>
            </w:r>
          </w:p>
          <w:p w14:paraId="7693D533" w14:textId="7F7D00CD" w:rsidR="00C0103C" w:rsidRPr="008A7379" w:rsidRDefault="008A7379" w:rsidP="00911625">
            <w:pPr>
              <w:pStyle w:val="Akapitzlist"/>
              <w:numPr>
                <w:ilvl w:val="0"/>
                <w:numId w:val="6"/>
              </w:numPr>
              <w:ind w:left="284" w:hanging="227"/>
              <w:jc w:val="both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884DB7">
              <w:rPr>
                <w:rFonts w:ascii="Arial Nova" w:hAnsi="Arial Nova" w:cstheme="minorHAnsi"/>
                <w:bCs/>
                <w:sz w:val="18"/>
                <w:szCs w:val="18"/>
              </w:rPr>
              <w:t>Deklaracja zgodności CE</w:t>
            </w:r>
            <w:r>
              <w:rPr>
                <w:rFonts w:ascii="Arial Nova" w:hAnsi="Arial Nova" w:cstheme="minorHAnsi"/>
                <w:bCs/>
                <w:sz w:val="18"/>
                <w:szCs w:val="18"/>
              </w:rPr>
              <w:t xml:space="preserve"> (</w:t>
            </w:r>
            <w:r w:rsidRPr="00D200E8">
              <w:rPr>
                <w:rFonts w:ascii="Arial Nova" w:hAnsi="Arial Nova"/>
                <w:bCs/>
                <w:color w:val="FF0000"/>
                <w:sz w:val="18"/>
                <w:szCs w:val="18"/>
              </w:rPr>
              <w:t>należy załączyć do oferty</w:t>
            </w:r>
            <w:r>
              <w:rPr>
                <w:rFonts w:ascii="Arial Nova" w:hAnsi="Arial Nova"/>
                <w:bCs/>
                <w:sz w:val="18"/>
                <w:szCs w:val="18"/>
              </w:rPr>
              <w:t>).</w:t>
            </w:r>
          </w:p>
        </w:tc>
      </w:tr>
      <w:tr w:rsidR="00C0103C" w:rsidRPr="007E2F0F" w14:paraId="41822C4A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2C509D4D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Wymagania dodatkowe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2BAF61F3" w14:textId="77777777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Wbudowane porty: </w:t>
            </w:r>
          </w:p>
          <w:p w14:paraId="024D6BFE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1 x HDMI, 3 x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DisplayPort</w:t>
            </w:r>
            <w:proofErr w:type="spellEnd"/>
          </w:p>
          <w:p w14:paraId="6F34920A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10 portów USB wyprowadzonych na zewnątrz obudowy, w układzie: </w:t>
            </w:r>
          </w:p>
          <w:p w14:paraId="4ED36E43" w14:textId="77777777" w:rsidR="00C0103C" w:rsidRPr="00D105ED" w:rsidRDefault="00C0103C" w:rsidP="00C0103C">
            <w:pPr>
              <w:numPr>
                <w:ilvl w:val="1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Panel przedni: 2 x USB 3.0</w:t>
            </w:r>
          </w:p>
          <w:p w14:paraId="2039EF03" w14:textId="77777777" w:rsidR="00C0103C" w:rsidRPr="00D105ED" w:rsidRDefault="00C0103C" w:rsidP="00C0103C">
            <w:pPr>
              <w:numPr>
                <w:ilvl w:val="1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Panel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tylny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: 1 x USB 3.1 Type-C; 2 x USB 3.1; 3 x USB 3.0; 4 x USB 2.0</w:t>
            </w:r>
          </w:p>
          <w:p w14:paraId="6993046E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1 x port audio słuchawki </w:t>
            </w:r>
          </w:p>
          <w:p w14:paraId="481DCE98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 x port audio mikrofon</w:t>
            </w:r>
          </w:p>
          <w:p w14:paraId="3A8B86DE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 x RJ – 45</w:t>
            </w:r>
          </w:p>
          <w:p w14:paraId="15C1D0D6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 x S/PDIF</w:t>
            </w:r>
          </w:p>
          <w:p w14:paraId="47756195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 x SMA</w:t>
            </w:r>
          </w:p>
          <w:p w14:paraId="7D2D61AC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Wymagana ilość i rozmieszczenie (na zewnątrz obudowy komputera) wszystkich portów USB Typu A i Typu C nie może być osiągnięta w wyniku stosowania konwerterów, przejściówek lub przewodów połączeniowych itp. Zainstalowane porty nie mogą blokować instalacji kart rozszerzeń w złączach wymaganych w opisie płyty głównej.</w:t>
            </w:r>
          </w:p>
          <w:p w14:paraId="51090DCD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Karta sieciowa 100/1000/2500 zintegrowana z płytą główną, wspierająca obsługę</w:t>
            </w:r>
            <w:r w:rsidRPr="00D105ED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WoL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(funkcja włączana przez użytkownika)</w:t>
            </w:r>
          </w:p>
          <w:p w14:paraId="6363574C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Karta WIFI a, b, g, n,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ac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ax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obsługa pasm 2.4/5/6 GHz</w:t>
            </w:r>
          </w:p>
          <w:p w14:paraId="7518F90A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BLUETOOTH 5.3</w:t>
            </w:r>
          </w:p>
          <w:p w14:paraId="5A16ED31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Płyta główna dedykowana dla danego urządzenia, wyposażona w: </w:t>
            </w:r>
          </w:p>
          <w:p w14:paraId="3C9654AE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1 x PCI Express x16 slot, supporting PCIe 5.0</w:t>
            </w:r>
          </w:p>
          <w:p w14:paraId="6E3B75EB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1 x PCI Express x16 slot, supporting PCIe 4.0</w:t>
            </w:r>
          </w:p>
          <w:p w14:paraId="7A27A8FC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1 x PCI Express x16 slot, supporting PCIe 3.0</w:t>
            </w:r>
          </w:p>
          <w:p w14:paraId="5E8ACC0C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4 x DIMM z obsługą do 128 GB DDR5RAM, </w:t>
            </w:r>
          </w:p>
          <w:p w14:paraId="0DC2D5FC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 x SATA III.</w:t>
            </w:r>
          </w:p>
          <w:p w14:paraId="0697CE10" w14:textId="77777777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Min. 3 złącza M.2 dla dysków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4.0 x4.</w:t>
            </w:r>
          </w:p>
          <w:p w14:paraId="08C8E10E" w14:textId="77777777" w:rsidR="00C0103C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Zintegrowany z płytą główną kontroler RAID 0, 1, 5, 10</w:t>
            </w:r>
          </w:p>
          <w:p w14:paraId="33063EC4" w14:textId="5ADF4CCC" w:rsidR="00292A22" w:rsidRPr="00D105ED" w:rsidRDefault="00292A22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Zestaw bezprzewodowy mysz + klawiatura: łączność </w:t>
            </w:r>
            <w:r w:rsidRP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2.4 GHz, Bluetooth 5.1</w:t>
            </w:r>
          </w:p>
          <w:p w14:paraId="1D6E9421" w14:textId="311B5113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Klawiatura w układzie </w:t>
            </w:r>
            <w:r w:rsidR="00292A22" w:rsidRP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QWERTY</w:t>
            </w:r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podświetlana, przełącznik do zmiany sposobu łączności, wskaźnik niskiego poziomu baterii, wskaźniki rodzaju połączenia bezprzewodowego, wyciszenia mikrofonu</w:t>
            </w:r>
          </w:p>
          <w:p w14:paraId="363578C0" w14:textId="21FED18F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Mysz z rolką</w:t>
            </w:r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wbudowana bateria, </w:t>
            </w:r>
            <w:proofErr w:type="spellStart"/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czułośc</w:t>
            </w:r>
            <w:proofErr w:type="spellEnd"/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od </w:t>
            </w:r>
            <w:r w:rsidR="00292A22" w:rsidRP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200</w:t>
            </w:r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2A22" w:rsidRP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2A22" w:rsidRP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8000 </w:t>
            </w:r>
            <w:proofErr w:type="spellStart"/>
            <w:r w:rsidR="00292A22" w:rsidRP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dpi</w:t>
            </w:r>
            <w:proofErr w:type="spellEnd"/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przycisk zmiany czułości, wskaźniki sygnalizacji</w:t>
            </w: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rodzaju połączenia bezprzewodowego, przełącznik do zmiany sposobu łączności</w:t>
            </w:r>
          </w:p>
          <w:p w14:paraId="3C663185" w14:textId="77777777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Dołączony nośnik ze sterownikami</w:t>
            </w:r>
          </w:p>
          <w:p w14:paraId="37869801" w14:textId="77777777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Opakowanie musi być wykonane z materiałów podlegających powtórnemu przetworzeniu.</w:t>
            </w:r>
          </w:p>
        </w:tc>
      </w:tr>
      <w:tr w:rsidR="00C0103C" w:rsidRPr="007E2F0F" w14:paraId="10172461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39E9E920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Ergonomia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5DA14D16" w14:textId="482FC670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Głośność wentylatora procesora mierzona zgodnie z norm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ami </w:t>
            </w: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 pozycji obserwatora w trybie pracy na maksymalnych obrotach wynosząca maksymalnie 2</w:t>
            </w:r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0103C" w:rsidRPr="007E2F0F" w14:paraId="3E54C89E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383A6EE6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Warunki gwarancji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34BD4346" w14:textId="5BF86E75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Zamawiający wymaga narzędzia do zarządzania zgłoszeniami serwisowymi samodzielnie przez portal interne</w:t>
            </w:r>
            <w:r w:rsidR="00C93C57">
              <w:rPr>
                <w:rFonts w:asciiTheme="minorHAnsi" w:hAnsiTheme="minorHAnsi" w:cstheme="minorHAnsi"/>
                <w:sz w:val="20"/>
                <w:szCs w:val="20"/>
              </w:rPr>
              <w:t>towy lub inne narzędzie nie</w:t>
            </w: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wymagające działań po stronie dostawcy. Narzędzie powinno umożliwiać:</w:t>
            </w:r>
          </w:p>
          <w:p w14:paraId="5BCAA67A" w14:textId="77777777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- samodzielne wystawianie zgłoszeń serwisowych, śledzenie stanu zgłoszenia, komunikację z serwisem producenta przez edycję zlecenia i stanu zlecenia</w:t>
            </w:r>
          </w:p>
          <w:p w14:paraId="08616C31" w14:textId="77777777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- dostęp do materiałów serwisowych - co najmniej podręczników serwisowych i not serwisowych</w:t>
            </w:r>
          </w:p>
          <w:p w14:paraId="1C804D6C" w14:textId="77777777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- dostęp do materiałów szkoleniowych</w:t>
            </w:r>
          </w:p>
          <w:p w14:paraId="0126F5DD" w14:textId="77777777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 xml:space="preserve">- możliwości dodawania plików do otwieranego lub otwartego zlecenia (zdjęcia uszkodzeń, opisy etc.) </w:t>
            </w:r>
          </w:p>
          <w:p w14:paraId="4EB2D9A7" w14:textId="77777777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 xml:space="preserve">- śledzenie historii zleceń - raporty ze zleceń, historia - dla poszczególnych zleceń lub dla poszczególnych komputerów </w:t>
            </w:r>
          </w:p>
        </w:tc>
      </w:tr>
      <w:tr w:rsidR="00C0103C" w:rsidRPr="007E2F0F" w14:paraId="1EE1841E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830" w:type="dxa"/>
            <w:shd w:val="clear" w:color="auto" w:fill="auto"/>
            <w:vAlign w:val="center"/>
          </w:tcPr>
          <w:p w14:paraId="55A11862" w14:textId="77777777" w:rsidR="00C0103C" w:rsidRPr="00CE3EC8" w:rsidRDefault="00C0103C" w:rsidP="0091162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E3E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20315047" w14:textId="464E7BB5" w:rsidR="00C0103C" w:rsidRPr="00CE3EC8" w:rsidRDefault="00EE38FB" w:rsidP="0091162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Min.</w:t>
            </w:r>
            <w:r w:rsidR="00C0103C" w:rsidRPr="00CE3E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36 miesięcy w miejscu instalacji</w:t>
            </w:r>
          </w:p>
        </w:tc>
      </w:tr>
    </w:tbl>
    <w:p w14:paraId="5AB408A0" w14:textId="77777777" w:rsidR="008A7379" w:rsidRDefault="008A7379">
      <w:r>
        <w:br w:type="page"/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801"/>
      </w:tblGrid>
      <w:tr w:rsidR="00EB5AA4" w:rsidRPr="007E2F0F" w14:paraId="76EC2B5A" w14:textId="77777777" w:rsidTr="00F6416F">
        <w:tc>
          <w:tcPr>
            <w:tcW w:w="10631" w:type="dxa"/>
            <w:gridSpan w:val="2"/>
            <w:shd w:val="clear" w:color="auto" w:fill="auto"/>
            <w:vAlign w:val="center"/>
          </w:tcPr>
          <w:p w14:paraId="47A74418" w14:textId="7994C0C4" w:rsidR="00EB5AA4" w:rsidRPr="00A4130D" w:rsidRDefault="00EB5AA4" w:rsidP="00A211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4130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Monitor LCD</w:t>
            </w:r>
          </w:p>
        </w:tc>
      </w:tr>
      <w:tr w:rsidR="00C0103C" w:rsidRPr="00E77788" w14:paraId="10CC2975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1EA4619" w14:textId="77777777" w:rsidR="00C0103C" w:rsidRPr="00CE3EC8" w:rsidRDefault="00C0103C" w:rsidP="00911625">
            <w:pPr>
              <w:rPr>
                <w:rFonts w:ascii="Roboto" w:hAnsi="Roboto"/>
                <w:bCs/>
                <w:color w:val="222222"/>
                <w:sz w:val="20"/>
                <w:szCs w:val="20"/>
              </w:rPr>
            </w:pPr>
            <w:r w:rsidRPr="00CE3EC8">
              <w:rPr>
                <w:rFonts w:asciiTheme="minorHAnsi" w:hAnsiTheme="minorHAnsi" w:cstheme="minorHAnsi"/>
                <w:bCs/>
                <w:sz w:val="20"/>
                <w:szCs w:val="20"/>
              </w:rPr>
              <w:t>Zastosowanie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38FDADE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Monitor 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będzie wykorzystywany dla potrzeb aplikacji biurowych, aplikacji edukacyjnych, aplikacji obliczeniowych, dostępu do Internetu oraz poczty </w:t>
            </w:r>
            <w:r w:rsidRPr="004D470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elektronicznej, jako lokalna baza danych, stacja programistyczna.</w:t>
            </w:r>
          </w:p>
        </w:tc>
      </w:tr>
      <w:tr w:rsidR="00C0103C" w:rsidRPr="00E77788" w14:paraId="043538D6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35F1778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Wielkość przekątnej: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213FF47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32"</w:t>
            </w:r>
          </w:p>
        </w:tc>
      </w:tr>
      <w:tr w:rsidR="00C0103C" w:rsidRPr="00E77788" w14:paraId="70117409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8D22EE8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Wbudowane urządzenia: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25E2080" w14:textId="1998A2FF" w:rsidR="00C0103C" w:rsidRPr="00E77788" w:rsidRDefault="00494022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Koncentrator USB 3.2</w:t>
            </w:r>
          </w:p>
        </w:tc>
      </w:tr>
      <w:tr w:rsidR="00C0103C" w:rsidRPr="00E77788" w14:paraId="2B2127F0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89D7D8C" w14:textId="23CAFEC6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Typ panel</w:t>
            </w:r>
            <w:r w:rsidR="005328F7">
              <w:rPr>
                <w:rFonts w:ascii="Roboto" w:hAnsi="Roboto"/>
                <w:color w:val="222222"/>
                <w:sz w:val="20"/>
                <w:szCs w:val="20"/>
              </w:rPr>
              <w:t>u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CE65393" w14:textId="0FB1D3B3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IPS</w:t>
            </w:r>
          </w:p>
        </w:tc>
      </w:tr>
      <w:tr w:rsidR="00C0103C" w:rsidRPr="00E77788" w14:paraId="7F022E5C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205EDA4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Współczynnik kształtu: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87A830C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16:9</w:t>
            </w:r>
          </w:p>
        </w:tc>
      </w:tr>
      <w:tr w:rsidR="00C0103C" w:rsidRPr="00E77788" w14:paraId="590B3D73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1B978CF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Rozdzielczość natywna: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35C5A92" w14:textId="206714B2" w:rsidR="00C0103C" w:rsidRPr="00E77788" w:rsidRDefault="00E113E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4K 3840 x 2160 przy 144 </w:t>
            </w:r>
            <w:proofErr w:type="spellStart"/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Hz</w:t>
            </w:r>
            <w:proofErr w:type="spellEnd"/>
          </w:p>
        </w:tc>
      </w:tr>
      <w:tr w:rsidR="00C0103C" w:rsidRPr="00E77788" w14:paraId="2236D3A5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413747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Rozstaw pikseli: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3F251BF" w14:textId="42B1D1C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Max.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0.18</w:t>
            </w:r>
            <w:r w:rsidR="00EE38FB">
              <w:rPr>
                <w:rFonts w:ascii="Roboto" w:hAnsi="Roboto"/>
                <w:color w:val="222222"/>
                <w:sz w:val="20"/>
                <w:szCs w:val="20"/>
              </w:rPr>
              <w:t>5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 mm</w:t>
            </w:r>
          </w:p>
        </w:tc>
      </w:tr>
      <w:tr w:rsidR="00C0103C" w:rsidRPr="00E77788" w14:paraId="2CFD5873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C6230D1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Pikseli na cal: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DF78D87" w14:textId="4C3CBE5F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13</w:t>
            </w:r>
            <w:r w:rsidR="000170D4">
              <w:rPr>
                <w:rFonts w:ascii="Roboto" w:hAnsi="Roboto"/>
                <w:color w:val="222222"/>
                <w:sz w:val="20"/>
                <w:szCs w:val="20"/>
              </w:rPr>
              <w:t>7</w:t>
            </w:r>
          </w:p>
        </w:tc>
      </w:tr>
      <w:tr w:rsidR="00C0103C" w:rsidRPr="00E77788" w14:paraId="36467D9B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E36F68B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Jasność: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D9CDFE6" w14:textId="09D4630F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="00155925">
              <w:rPr>
                <w:rFonts w:ascii="Roboto" w:hAnsi="Roboto"/>
                <w:color w:val="222222"/>
                <w:sz w:val="20"/>
                <w:szCs w:val="20"/>
              </w:rPr>
              <w:t>4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00 cd/m²</w:t>
            </w:r>
          </w:p>
        </w:tc>
      </w:tr>
      <w:tr w:rsidR="00C0103C" w:rsidRPr="00E77788" w14:paraId="26F582FD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94D714F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Współczynnik kontrastu: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B00C0E9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1000:1</w:t>
            </w:r>
          </w:p>
        </w:tc>
      </w:tr>
      <w:tr w:rsidR="00C0103C" w:rsidRPr="00E77788" w14:paraId="28B76DF8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3AEDD4E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Obsługa kolorów: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66CD86B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1,07 miliarda kolorów</w:t>
            </w:r>
          </w:p>
        </w:tc>
      </w:tr>
      <w:tr w:rsidR="00C0103C" w:rsidRPr="00E77788" w14:paraId="7C3EB543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002888E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Paleta Kolorów: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C3D71AD" w14:textId="27A84BEC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9</w:t>
            </w:r>
            <w:r w:rsidR="00155925">
              <w:rPr>
                <w:rFonts w:ascii="Roboto" w:hAnsi="Roboto"/>
                <w:color w:val="222222"/>
                <w:sz w:val="20"/>
                <w:szCs w:val="20"/>
              </w:rPr>
              <w:t>4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% DCI-P3, </w:t>
            </w: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9</w:t>
            </w:r>
            <w:r w:rsidR="00155925">
              <w:rPr>
                <w:rFonts w:ascii="Roboto" w:hAnsi="Roboto"/>
                <w:color w:val="222222"/>
                <w:sz w:val="20"/>
                <w:szCs w:val="20"/>
              </w:rPr>
              <w:t>8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% </w:t>
            </w:r>
            <w:proofErr w:type="spellStart"/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sRGB</w:t>
            </w:r>
            <w:proofErr w:type="spellEnd"/>
          </w:p>
        </w:tc>
      </w:tr>
      <w:tr w:rsidR="00C0103C" w:rsidRPr="00E77788" w14:paraId="57D1ABB7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CBCCD1E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Czas reakcji: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215C274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Max.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 ms (maks. szary-do-szarego)</w:t>
            </w:r>
          </w:p>
        </w:tc>
      </w:tr>
      <w:tr w:rsidR="00C0103C" w:rsidRPr="00E77788" w14:paraId="617BF5B9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1B56193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Poziomy kąt widzenia: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6D12ED" w14:textId="182DDA2F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17</w:t>
            </w:r>
            <w:r w:rsidR="00AC349C">
              <w:rPr>
                <w:rFonts w:ascii="Roboto" w:hAnsi="Roboto"/>
                <w:color w:val="222222"/>
                <w:sz w:val="20"/>
                <w:szCs w:val="20"/>
              </w:rPr>
              <w:t>7</w:t>
            </w:r>
          </w:p>
        </w:tc>
      </w:tr>
      <w:tr w:rsidR="00C0103C" w:rsidRPr="00E77788" w14:paraId="5475E8AC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8E9C10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Pionowy kąt widzenia: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905F431" w14:textId="5E2323FC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17</w:t>
            </w:r>
            <w:r w:rsidR="00AC349C">
              <w:rPr>
                <w:rFonts w:ascii="Roboto" w:hAnsi="Roboto"/>
                <w:color w:val="222222"/>
                <w:sz w:val="20"/>
                <w:szCs w:val="20"/>
              </w:rPr>
              <w:t>7</w:t>
            </w:r>
          </w:p>
        </w:tc>
      </w:tr>
      <w:tr w:rsidR="00C0103C" w:rsidRPr="00E77788" w14:paraId="17461B4F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6BE567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Powłoka ekranu: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84C6EDF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Antyrefleksyjna</w:t>
            </w:r>
          </w:p>
        </w:tc>
      </w:tr>
      <w:tr w:rsidR="00C0103C" w:rsidRPr="00E77788" w14:paraId="75B4CC7E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792654F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Technologia podświetlenia: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459012" w14:textId="3413434F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LED</w:t>
            </w:r>
          </w:p>
        </w:tc>
      </w:tr>
      <w:tr w:rsidR="00C0103C" w:rsidRPr="00E77788" w14:paraId="0802EBB7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1A1BA72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Interfejsy: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47A6F0C" w14:textId="456BE096" w:rsidR="00C0103C" w:rsidRPr="00E77788" w:rsidRDefault="00AC349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2 x HDMI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br/>
            </w: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proofErr w:type="spellStart"/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DisplayPort</w:t>
            </w:r>
            <w:proofErr w:type="spellEnd"/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 1.4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br/>
            </w: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2 x USB 3.2</w:t>
            </w:r>
            <w:r>
              <w:rPr>
                <w:rFonts w:ascii="Roboto" w:hAnsi="Roboto"/>
                <w:color w:val="222222"/>
                <w:sz w:val="20"/>
                <w:szCs w:val="20"/>
              </w:rPr>
              <w:t>, min. jeden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port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z </w:t>
            </w:r>
            <w:r>
              <w:rPr>
                <w:rFonts w:ascii="Roboto" w:hAnsi="Roboto"/>
                <w:color w:val="222222"/>
                <w:sz w:val="20"/>
                <w:szCs w:val="20"/>
              </w:rPr>
              <w:t>ł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adowaniem Baterii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br/>
            </w: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USB 3.2 Generacji </w:t>
            </w:r>
            <w:proofErr w:type="spellStart"/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upstream</w:t>
            </w:r>
            <w:proofErr w:type="spellEnd"/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br/>
            </w:r>
            <w:r>
              <w:rPr>
                <w:rFonts w:ascii="Roboto" w:hAnsi="Roboto"/>
                <w:color w:val="222222"/>
                <w:sz w:val="20"/>
                <w:szCs w:val="20"/>
              </w:rPr>
              <w:t>1 x wyjście s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łuchawk</w:t>
            </w:r>
            <w:r>
              <w:rPr>
                <w:rFonts w:ascii="Roboto" w:hAnsi="Roboto"/>
                <w:color w:val="222222"/>
                <w:sz w:val="20"/>
                <w:szCs w:val="20"/>
              </w:rPr>
              <w:t>owe</w:t>
            </w:r>
          </w:p>
        </w:tc>
      </w:tr>
      <w:tr w:rsidR="00C0103C" w:rsidRPr="00E77788" w14:paraId="484C8D2C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319827A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Regulacja pozycji ekranu: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4AF6899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Wysokość, pokrętło, odchylenie</w:t>
            </w:r>
          </w:p>
        </w:tc>
      </w:tr>
      <w:tr w:rsidR="00C0103C" w:rsidRPr="00E77788" w14:paraId="72CB02A0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BD0B7C9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Kąt pochylenia: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1277BF3" w14:textId="58E68DE3" w:rsidR="00C0103C" w:rsidRPr="00E77788" w:rsidRDefault="00E113E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-5/+21</w:t>
            </w:r>
          </w:p>
        </w:tc>
      </w:tr>
      <w:tr w:rsidR="00C0103C" w:rsidRPr="00E77788" w14:paraId="1685251B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1309CCC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Kąt obrotu: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0FC34DE" w14:textId="155068B2" w:rsidR="00C0103C" w:rsidRPr="00E77788" w:rsidRDefault="00AC349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AC349C">
              <w:rPr>
                <w:rFonts w:ascii="Roboto" w:hAnsi="Roboto"/>
                <w:color w:val="222222"/>
                <w:sz w:val="20"/>
                <w:szCs w:val="20"/>
              </w:rPr>
              <w:t>-30°/+30°</w:t>
            </w:r>
          </w:p>
        </w:tc>
      </w:tr>
      <w:tr w:rsidR="00C0103C" w:rsidRPr="00E77788" w14:paraId="7BBE179B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CED4B69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Regulacja wysokości: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672C361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100 mm</w:t>
            </w:r>
          </w:p>
        </w:tc>
      </w:tr>
      <w:tr w:rsidR="00C0103C" w:rsidRPr="00E77788" w14:paraId="3FA5A076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9C9E6D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Interfejs Montażowy VESA: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176A507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100 x 100 mm</w:t>
            </w:r>
          </w:p>
        </w:tc>
      </w:tr>
      <w:tr w:rsidR="00C0103C" w:rsidRPr="00E41CF4" w14:paraId="2BA5370F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B2E3382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Dołączone przewody: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67AAF56" w14:textId="2656C8AF" w:rsidR="00C0103C" w:rsidRPr="00E77788" w:rsidRDefault="00AC349C" w:rsidP="00911625">
            <w:pPr>
              <w:rPr>
                <w:rFonts w:ascii="Roboto" w:hAnsi="Roboto"/>
                <w:color w:val="222222"/>
                <w:sz w:val="20"/>
                <w:szCs w:val="20"/>
                <w:lang w:val="en-GB"/>
              </w:rPr>
            </w:pPr>
            <w:r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1 x </w:t>
            </w:r>
            <w:proofErr w:type="spellStart"/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>kabel</w:t>
            </w:r>
            <w:proofErr w:type="spellEnd"/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 DisplayPort - DisplayPort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br/>
            </w:r>
            <w:r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1 x </w:t>
            </w:r>
            <w:proofErr w:type="spellStart"/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>kabel</w:t>
            </w:r>
            <w:proofErr w:type="spellEnd"/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 HDMI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br/>
            </w:r>
            <w:r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1 x </w:t>
            </w:r>
            <w:proofErr w:type="spellStart"/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>kabel</w:t>
            </w:r>
            <w:proofErr w:type="spellEnd"/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 upstream USB 3.2</w:t>
            </w:r>
          </w:p>
        </w:tc>
      </w:tr>
      <w:tr w:rsidR="00C0103C" w:rsidRPr="00E77788" w14:paraId="06B6905D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C3DF27E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Zgodność z normami: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F8CC6E1" w14:textId="025C7F28" w:rsidR="00C0103C" w:rsidRPr="00E77788" w:rsidRDefault="002E4B70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proofErr w:type="spellStart"/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RoHS</w:t>
            </w:r>
            <w:proofErr w:type="spellEnd"/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, TUV </w:t>
            </w:r>
            <w:proofErr w:type="spellStart"/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Rheinland</w:t>
            </w:r>
            <w:proofErr w:type="spellEnd"/>
          </w:p>
        </w:tc>
      </w:tr>
      <w:tr w:rsidR="00C0103C" w:rsidRPr="00E77788" w14:paraId="60CE968C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EC98C32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Pobór Mocy (Maksymalny):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51424A5" w14:textId="1EC00738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Max.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12</w:t>
            </w:r>
            <w:r w:rsidR="002E4B70">
              <w:rPr>
                <w:rFonts w:ascii="Roboto" w:hAnsi="Roboto"/>
                <w:color w:val="222222"/>
                <w:sz w:val="20"/>
                <w:szCs w:val="20"/>
              </w:rPr>
              <w:t>2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 wat</w:t>
            </w:r>
          </w:p>
        </w:tc>
      </w:tr>
      <w:tr w:rsidR="00C0103C" w:rsidRPr="00E77788" w14:paraId="6092B3F2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0725312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lastRenderedPageBreak/>
              <w:t>Zużycie energii w stanie czuwania: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CE9CE0D" w14:textId="391002DB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Max.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0.</w:t>
            </w:r>
            <w:r w:rsidR="002E4B70">
              <w:rPr>
                <w:rFonts w:ascii="Roboto" w:hAnsi="Roboto"/>
                <w:color w:val="222222"/>
                <w:sz w:val="20"/>
                <w:szCs w:val="20"/>
              </w:rPr>
              <w:t>4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 wat</w:t>
            </w:r>
          </w:p>
        </w:tc>
      </w:tr>
      <w:tr w:rsidR="00C0103C" w:rsidRPr="00E77788" w14:paraId="702A017E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70E220D" w14:textId="4291603D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>Gwarancja</w:t>
            </w:r>
            <w:r w:rsidR="002E4B70">
              <w:rPr>
                <w:rFonts w:ascii="Roboto" w:hAnsi="Roboto"/>
                <w:color w:val="222222"/>
                <w:sz w:val="20"/>
                <w:szCs w:val="20"/>
              </w:rPr>
              <w:t xml:space="preserve"> producenta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43D5670" w14:textId="22A7E598" w:rsidR="00C0103C" w:rsidRPr="00E77788" w:rsidRDefault="002E4B70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="00C0103C">
              <w:rPr>
                <w:rFonts w:ascii="Roboto" w:hAnsi="Roboto"/>
                <w:color w:val="222222"/>
                <w:sz w:val="20"/>
                <w:szCs w:val="20"/>
              </w:rPr>
              <w:t>36 miesięcy w miejscu instalacji</w:t>
            </w: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443E" w14:textId="77777777" w:rsidR="00CD4D98" w:rsidRDefault="00CD4D98">
      <w:r>
        <w:separator/>
      </w:r>
    </w:p>
  </w:endnote>
  <w:endnote w:type="continuationSeparator" w:id="0">
    <w:p w14:paraId="20B693A4" w14:textId="77777777" w:rsidR="00CD4D98" w:rsidRDefault="00CD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735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FE5819" w14:textId="1CFBCF8A" w:rsidR="004D470F" w:rsidRDefault="004D470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9635" w14:textId="77777777" w:rsidR="00CD4D98" w:rsidRDefault="00CD4D98">
      <w:r>
        <w:separator/>
      </w:r>
    </w:p>
  </w:footnote>
  <w:footnote w:type="continuationSeparator" w:id="0">
    <w:p w14:paraId="4DF4D7CD" w14:textId="77777777" w:rsidR="00CD4D98" w:rsidRDefault="00CD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59E9" w14:textId="1D53F990" w:rsidR="00E41CF4" w:rsidRPr="00E41CF4" w:rsidRDefault="00E41CF4" w:rsidP="00E41CF4">
    <w:pPr>
      <w:tabs>
        <w:tab w:val="center" w:pos="4536"/>
        <w:tab w:val="right" w:pos="9072"/>
      </w:tabs>
      <w:jc w:val="right"/>
    </w:pPr>
    <w:r w:rsidRPr="00E41CF4">
      <w:rPr>
        <w:noProof/>
      </w:rPr>
      <w:fldChar w:fldCharType="begin"/>
    </w:r>
    <w:r w:rsidRPr="00E41CF4">
      <w:rPr>
        <w:noProof/>
      </w:rPr>
      <w:instrText xml:space="preserve"> FILENAME  \* FirstCap  \* MERGEFORMAT </w:instrText>
    </w:r>
    <w:r w:rsidRPr="00E41CF4">
      <w:rPr>
        <w:noProof/>
      </w:rPr>
      <w:fldChar w:fldCharType="separate"/>
    </w:r>
    <w:r>
      <w:rPr>
        <w:noProof/>
      </w:rPr>
      <w:t>Załącznik nr A57</w:t>
    </w:r>
    <w:r w:rsidRPr="00E41CF4">
      <w:rPr>
        <w:noProof/>
      </w:rPr>
      <w:fldChar w:fldCharType="end"/>
    </w:r>
  </w:p>
  <w:p w14:paraId="5BC3C910" w14:textId="33561E7B" w:rsidR="00005027" w:rsidRDefault="00005027" w:rsidP="0000502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4E72A9"/>
    <w:multiLevelType w:val="hybridMultilevel"/>
    <w:tmpl w:val="3098AC90"/>
    <w:lvl w:ilvl="0" w:tplc="3EB8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965775">
    <w:abstractNumId w:val="0"/>
  </w:num>
  <w:num w:numId="2" w16cid:durableId="1398164992">
    <w:abstractNumId w:val="5"/>
  </w:num>
  <w:num w:numId="3" w16cid:durableId="1530872526">
    <w:abstractNumId w:val="1"/>
  </w:num>
  <w:num w:numId="4" w16cid:durableId="915825424">
    <w:abstractNumId w:val="3"/>
  </w:num>
  <w:num w:numId="5" w16cid:durableId="2129349832">
    <w:abstractNumId w:val="4"/>
  </w:num>
  <w:num w:numId="6" w16cid:durableId="272713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062B"/>
    <w:rsid w:val="00001CAC"/>
    <w:rsid w:val="00005027"/>
    <w:rsid w:val="000170D4"/>
    <w:rsid w:val="000E4C06"/>
    <w:rsid w:val="0010438A"/>
    <w:rsid w:val="00110BAC"/>
    <w:rsid w:val="00137C80"/>
    <w:rsid w:val="00151370"/>
    <w:rsid w:val="00155925"/>
    <w:rsid w:val="00157180"/>
    <w:rsid w:val="001A2250"/>
    <w:rsid w:val="001C2ED9"/>
    <w:rsid w:val="001E1103"/>
    <w:rsid w:val="001E7315"/>
    <w:rsid w:val="001F060C"/>
    <w:rsid w:val="002058C3"/>
    <w:rsid w:val="00225369"/>
    <w:rsid w:val="00241DA5"/>
    <w:rsid w:val="00254D7D"/>
    <w:rsid w:val="00292A22"/>
    <w:rsid w:val="002A21FF"/>
    <w:rsid w:val="002E4B70"/>
    <w:rsid w:val="002F0AB3"/>
    <w:rsid w:val="003472C2"/>
    <w:rsid w:val="00352C94"/>
    <w:rsid w:val="003672EA"/>
    <w:rsid w:val="0037258D"/>
    <w:rsid w:val="0037713B"/>
    <w:rsid w:val="003A2EF9"/>
    <w:rsid w:val="003B26AE"/>
    <w:rsid w:val="003B7A39"/>
    <w:rsid w:val="003F64C5"/>
    <w:rsid w:val="004377AE"/>
    <w:rsid w:val="0045744F"/>
    <w:rsid w:val="00466283"/>
    <w:rsid w:val="00493660"/>
    <w:rsid w:val="00494022"/>
    <w:rsid w:val="004C627C"/>
    <w:rsid w:val="004D31FF"/>
    <w:rsid w:val="004D470F"/>
    <w:rsid w:val="0053153F"/>
    <w:rsid w:val="005328F7"/>
    <w:rsid w:val="00545831"/>
    <w:rsid w:val="005542B8"/>
    <w:rsid w:val="0058173E"/>
    <w:rsid w:val="00581A5D"/>
    <w:rsid w:val="005C32D0"/>
    <w:rsid w:val="00625DAF"/>
    <w:rsid w:val="00647490"/>
    <w:rsid w:val="006654E5"/>
    <w:rsid w:val="00670EC5"/>
    <w:rsid w:val="006742CE"/>
    <w:rsid w:val="00684B01"/>
    <w:rsid w:val="006B11D8"/>
    <w:rsid w:val="006D4F26"/>
    <w:rsid w:val="00703F5C"/>
    <w:rsid w:val="007D2710"/>
    <w:rsid w:val="00861AF3"/>
    <w:rsid w:val="008A1680"/>
    <w:rsid w:val="008A245E"/>
    <w:rsid w:val="008A701D"/>
    <w:rsid w:val="008A7379"/>
    <w:rsid w:val="008C146E"/>
    <w:rsid w:val="00900625"/>
    <w:rsid w:val="00914B21"/>
    <w:rsid w:val="00935D58"/>
    <w:rsid w:val="009613B7"/>
    <w:rsid w:val="0098657E"/>
    <w:rsid w:val="009B4FAA"/>
    <w:rsid w:val="009D5838"/>
    <w:rsid w:val="009F08C6"/>
    <w:rsid w:val="009F4D24"/>
    <w:rsid w:val="00A170A3"/>
    <w:rsid w:val="00A21128"/>
    <w:rsid w:val="00A4130D"/>
    <w:rsid w:val="00A52947"/>
    <w:rsid w:val="00A75F1C"/>
    <w:rsid w:val="00A97857"/>
    <w:rsid w:val="00AC349C"/>
    <w:rsid w:val="00AD7F17"/>
    <w:rsid w:val="00B65BF0"/>
    <w:rsid w:val="00BC2693"/>
    <w:rsid w:val="00C0103C"/>
    <w:rsid w:val="00C17C5B"/>
    <w:rsid w:val="00C93C57"/>
    <w:rsid w:val="00CB3764"/>
    <w:rsid w:val="00CD4D98"/>
    <w:rsid w:val="00CF703C"/>
    <w:rsid w:val="00D37450"/>
    <w:rsid w:val="00D5282E"/>
    <w:rsid w:val="00D536DC"/>
    <w:rsid w:val="00DB5AEC"/>
    <w:rsid w:val="00DB7583"/>
    <w:rsid w:val="00DD6387"/>
    <w:rsid w:val="00DE5073"/>
    <w:rsid w:val="00DF74B3"/>
    <w:rsid w:val="00E113EC"/>
    <w:rsid w:val="00E152A6"/>
    <w:rsid w:val="00E20D8F"/>
    <w:rsid w:val="00E23BF8"/>
    <w:rsid w:val="00E41CF4"/>
    <w:rsid w:val="00E563AE"/>
    <w:rsid w:val="00E64035"/>
    <w:rsid w:val="00E73709"/>
    <w:rsid w:val="00EA0372"/>
    <w:rsid w:val="00EB22A9"/>
    <w:rsid w:val="00EB5AA4"/>
    <w:rsid w:val="00EC690E"/>
    <w:rsid w:val="00EC79EC"/>
    <w:rsid w:val="00ED0F59"/>
    <w:rsid w:val="00EE38FB"/>
    <w:rsid w:val="00F6416F"/>
    <w:rsid w:val="00F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0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0B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F08C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C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E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67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2023-11-21T23:21:00Z</dcterms:created>
  <dcterms:modified xsi:type="dcterms:W3CDTF">2024-03-15T14:43:00Z</dcterms:modified>
</cp:coreProperties>
</file>