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numbering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</w:t>
      </w:r>
      <w:r>
        <w:rPr>
          <w:rFonts w:cs="Arial" w:ascii="Arial" w:hAnsi="Arial"/>
          <w:color w:val="000000"/>
          <w:sz w:val="18"/>
          <w:szCs w:val="18"/>
        </w:rPr>
        <w:t>Załącznik nr 1</w:t>
      </w:r>
    </w:p>
    <w:p>
      <w:pPr>
        <w:pStyle w:val="Normal"/>
        <w:spacing w:before="0" w:after="0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18"/>
          <w:szCs w:val="18"/>
        </w:rPr>
        <w:t>Kz-</w:t>
      </w:r>
      <w:r>
        <w:rPr>
          <w:rFonts w:cs="Arial" w:ascii="Arial" w:hAnsi="Arial"/>
          <w:i w:val="false"/>
          <w:iCs w:val="false"/>
          <w:color w:val="000000"/>
          <w:sz w:val="18"/>
          <w:szCs w:val="18"/>
        </w:rPr>
        <w:t>II.</w:t>
      </w:r>
      <w:r>
        <w:rPr>
          <w:rFonts w:cs="Arial" w:ascii="Arial" w:hAnsi="Arial"/>
          <w:color w:val="000000"/>
          <w:sz w:val="18"/>
          <w:szCs w:val="18"/>
        </w:rPr>
        <w:t>2380.1</w:t>
      </w:r>
      <w:r>
        <w:rPr>
          <w:rFonts w:cs="Arial" w:ascii="Arial" w:hAnsi="Arial"/>
          <w:color w:val="000000"/>
          <w:sz w:val="18"/>
          <w:szCs w:val="18"/>
        </w:rPr>
        <w:t>27</w:t>
      </w:r>
      <w:r>
        <w:rPr>
          <w:rFonts w:cs="Arial" w:ascii="Arial" w:hAnsi="Arial"/>
          <w:color w:val="000000"/>
          <w:sz w:val="18"/>
          <w:szCs w:val="18"/>
        </w:rPr>
        <w:t xml:space="preserve">.2024 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</w:t>
      </w:r>
      <w:r>
        <w:rPr>
          <w:rFonts w:cs="Arial" w:ascii="Arial" w:hAnsi="Arial"/>
          <w:color w:val="000000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FORMULARZ OFERTOWY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18"/>
          <w:szCs w:val="18"/>
          <w:lang w:eastAsia="pl-PL"/>
        </w:rPr>
        <w:t xml:space="preserve">DOSTAWA </w:t>
      </w:r>
      <w:r>
        <w:rPr>
          <w:rFonts w:eastAsia="Calibri" w:cs="Arial" w:ascii="Arial" w:hAnsi="Arial"/>
          <w:b/>
          <w:color w:val="000000"/>
          <w:sz w:val="20"/>
          <w:szCs w:val="18"/>
          <w:lang w:eastAsia="pl-PL"/>
        </w:rPr>
        <w:t>DETEKTORA</w:t>
      </w:r>
    </w:p>
    <w:p>
      <w:pPr>
        <w:pStyle w:val="Normal"/>
        <w:spacing w:before="0" w:after="0"/>
        <w:rPr>
          <w:color w:val="000000"/>
        </w:rPr>
      </w:pPr>
      <w:r>
        <w:rPr>
          <w:rFonts w:eastAsia="Calibri" w:cs="Arial" w:ascii="Arial" w:hAnsi="Arial"/>
          <w:b/>
          <w:color w:val="000000"/>
          <w:sz w:val="20"/>
        </w:rPr>
        <w:t xml:space="preserve">                                     </w:t>
      </w:r>
      <w:r>
        <w:rPr>
          <w:rFonts w:cs="Arial" w:ascii="Arial" w:hAnsi="Arial"/>
          <w:b/>
          <w:color w:val="000000"/>
          <w:sz w:val="20"/>
        </w:rPr>
        <w:t xml:space="preserve">                 </w:t>
      </w:r>
    </w:p>
    <w:p>
      <w:pPr>
        <w:pStyle w:val="Normal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color w:val="000000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color w:val="000000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Wartość  oferty: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color w:val="000000"/>
          <w:sz w:val="20"/>
          <w:szCs w:val="20"/>
          <w:lang w:eastAsia="ar-SA"/>
        </w:rPr>
      </w:pPr>
      <w:r>
        <w:rPr>
          <w:rFonts w:eastAsia="Calibri" w:cs="Arial" w:ascii="Arial" w:hAnsi="Arial"/>
          <w:color w:val="000000"/>
          <w:sz w:val="20"/>
          <w:szCs w:val="20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06"/>
        <w:gridCol w:w="1134"/>
        <w:gridCol w:w="1135"/>
        <w:gridCol w:w="1977"/>
      </w:tblGrid>
      <w:tr>
        <w:trPr>
          <w:trHeight w:val="1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DETEKTOR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0"/>
          <w:szCs w:val="20"/>
        </w:rPr>
        <w:t>Razem wartość brutto oferty:  ………………………zł</w:t>
      </w:r>
      <w:r>
        <w:rPr>
          <w:rFonts w:cs="Arial" w:ascii="Arial" w:hAnsi="Arial"/>
          <w:b/>
          <w:color w:val="000000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/słownie/ …………………………………………………………………………………………………………....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color w:val="000000"/>
          <w:sz w:val="18"/>
          <w:szCs w:val="18"/>
        </w:rPr>
        <w:t>przelew do 30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dni </w:t>
      </w:r>
      <w:r>
        <w:rPr>
          <w:rFonts w:cs="Arial" w:ascii="Arial" w:hAnsi="Arial"/>
          <w:color w:val="000000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GWARANCJA /proszę zaznaczyć wybrane/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340" w:left="964" w:right="0"/>
        <w:contextualSpacing/>
        <w:jc w:val="both"/>
        <w:rPr>
          <w:color w:val="000000"/>
        </w:rPr>
      </w:pPr>
      <w:r>
        <w:rPr>
          <w:color w:val="000000"/>
        </w:rPr>
        <w:t>gwarancja - 48 miesiące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340" w:left="964" w:right="0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gwarancja - 36 miesięcy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340" w:left="964" w:right="0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gwarancja - 24 miesięcy </w:t>
      </w:r>
    </w:p>
    <w:p>
      <w:pPr>
        <w:pStyle w:val="ListParagraph"/>
        <w:numPr>
          <w:ilvl w:val="0"/>
          <w:numId w:val="0"/>
        </w:numPr>
        <w:spacing w:before="0" w:after="0"/>
        <w:ind w:hanging="0" w:left="62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SZCZEGÓŁOWY OPIS PRZEDMIOTU ZAMÓWIENIA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20"/>
          <w:szCs w:val="20"/>
        </w:rPr>
        <w:t>Przedmiotem zamówienia jest dostawa sprzętu / zestaw/ na który składa się: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20"/>
          <w:szCs w:val="20"/>
        </w:rPr>
        <w:t xml:space="preserve">1. </w:t>
      </w:r>
      <w:r>
        <w:rPr>
          <w:rFonts w:eastAsia="Times New Roman" w:cs="Times New Roman" w:ascii="Arial" w:hAnsi="Arial"/>
          <w:b/>
          <w:i/>
          <w:color w:val="000000"/>
          <w:sz w:val="20"/>
          <w:szCs w:val="20"/>
          <w:lang w:eastAsia="pl-PL"/>
        </w:rPr>
        <w:t>detektor promieniowania (1 szt.)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PRODUCENT ……………………………….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Times New Roman" w:cs="Times New Roman" w:ascii="Arial" w:hAnsi="Arial"/>
          <w:b/>
          <w:i/>
          <w:color w:val="000000"/>
          <w:sz w:val="18"/>
          <w:szCs w:val="18"/>
          <w:lang w:eastAsia="pl-PL"/>
        </w:rPr>
        <w:t>MODEL ………………………………………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Times New Roman" w:cs="Times New Roman" w:ascii="Arial" w:hAnsi="Arial"/>
          <w:b/>
          <w:i/>
          <w:color w:val="000000"/>
          <w:sz w:val="20"/>
          <w:szCs w:val="20"/>
          <w:lang w:eastAsia="pl-PL"/>
        </w:rPr>
        <w:t>2. telefonem (typu smartfon) smartfonem do obsługi dedykowanej aplikacji detektora (1 szt.)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PRODUCENT ……………………………….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MODEL ………………………………….…...</w:t>
      </w:r>
    </w:p>
    <w:p>
      <w:pPr>
        <w:pStyle w:val="Normal"/>
        <w:spacing w:lineRule="auto" w:line="240" w:before="0" w:after="0"/>
        <w:ind w:right="591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tbl>
      <w:tblPr>
        <w:tblW w:w="9060" w:type="dxa"/>
        <w:jc w:val="left"/>
        <w:tblInd w:w="175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1574"/>
        <w:gridCol w:w="3450"/>
        <w:gridCol w:w="4036"/>
      </w:tblGrid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Wymagania minimalne i charakterystyka detektora oraz telefonu typu smartfonu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WYPEŁNIA WYKONAWCA</w:t>
            </w:r>
          </w:p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/w odniesieniu do każdego punktu/</w:t>
            </w:r>
          </w:p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parametry techniczne / właściwości oferowanego sprzętu</w:t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Wymagania dotyczące produkcji detektora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 Oferowany detektor musi być fabrycznie nowy, tj. wyprodukowany nie później niż w 2023 roku, pochodzić z legalnego kanału dystrybucji na rynek UE.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283" w:right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2. Oferowany detektor wraz z telefonem (typu smartfon) nie mogą być urządzeniami modelowymi,  prototypowymi, demonstracyjnymi.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Specyfikacja dotycząca detektora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do identyfikacji radioizotopów, może zarówno wykrywać, jak i identyfikować źródła radioaktywne.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Możliwość wykrycia promieniowania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20"/>
              </w:rPr>
              <w:t xml:space="preserve"> ze źródeł gamma i neutronowych.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o niskiej rozdzielczości z typową rozdzielczością między 7% a 8%.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posiada możliwość dyskretnego noszenia  przy jednoczesnym monitorowaniu danych za pomocą oddzielnego ekranu urządzenia.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Wymiary urządzenia: nie większe niż 150 x 80 x 25 mm.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Energia promieniowania gamma w zakresie od 30 keV do 3 MeV.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Zakres mierzonej przez urządzenie dawki: od co najmniej 0,01μSv/h do 1Sv/h.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Dokładność mierzonej przez urządzenie dawki: ±10% potwierdzona testami laboratoryjnymi strony trzeciej.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Możliwość jednoczesnej identyfikacji wielu izotopów.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Zakres temperatur pracy urządzenia od -20°C do +50°C.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Ochrona przed wnikaniem pyłu (pyłoszczelność) oraz ochrona przed rozpyloną wodą: minimum IP 53.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Zasilanie urządzenia: wewnętrzny akumulator z możliwością wymiany.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Czas pracy urządzenie na baterii wynosi nie mniej niż 12 godzin.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do identyfikacji radioizotopów jest w stanie przesyłać dane przez USB i Bluetooth.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posiada alarmy dźwiękowe, wizualne i wibracyjne.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Waga urządzenia: nie więcej niź 500 g.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Czas uruchomienia: poniżej 45 sekund.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nie zawiera wewnętrznego źródła kontroli.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nie posiada wbudowanego ekranu czy wyświetlacza.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Możliwość klasyfikacji zidentyfikowanych izotopów jako występujące naturalnie w środowisku (NORM), przemysłowe, medyczne i specjalne materiały jądrowe (SNM).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Możliwość wykrycia co najmniej 40 izotopów.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Możliwość wyświetlania graficznej ikony wskazującej klasyfikację izotopu.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Wyposażone w tryb rutynowy i tryb ograniczony (routine / restricted). Dostęp do trybu  ograniczonego jest możliwy za pomocą kodu PIN.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Urządzenie posiada możliwość wysyłania plików reachback z terenu (przekazywanie informacji o wynikach oraz widmach).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ind w:hanging="425" w:left="458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Detektor  neutronów nie może być oparty o jonizację w gazie He-3.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hanging="0" w:left="458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Specyfikacja dotycząca telefonu typu smartfon do obsługi aplikacji detektora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Kolor: czarny.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Wodoodporny/pyłoodporny: IP69.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Dystrybucja: EU.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System operacyjny: nie niższy niż Android 9.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Pamięć RAM: nie niższa niż 4 GB.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Pamięć wbudowana: nie mniej niż 64GB.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Obsługa kart pamięci: karta microSD (w zestawie).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Standard SIM: nanoSIM.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Modem 4G LTE: wbudowany.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Telefon wyposażony w moduł WiFi.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Standard Bluetooth: nie niższy niż v5.0.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Złącze USB: USB typ C.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Złącza audio: MiniJack 3.5mm.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Rodzaj wyświetlacza: IPS.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Przekątna ekranu: nie mniej niż 6.3".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Rozdzielczość ekranu: nie niższa niż 1080 x 2400.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Aparat główny: nie mniej niż 13 + 8 MPix.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Aparat przedni: nie mniej niż 25 MPix.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Telefon wyposażony w GPS.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Telefon wyposażony w czytnik linii papilarnych.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Pojemność baterii: nie mniej niż 4000 mAh.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Wysokość: nie większa niż 170 mm.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Szerokość: nie większa niż 80 mm.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360" w:left="458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Głębokość: nie większa niż 100 mm.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200"/>
              <w:ind w:hanging="360" w:left="458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Waga: nie więcej niż 250 g.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hanging="0" w:left="458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62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120"/>
              <w:ind w:hanging="457" w:left="457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Detektor wraz z dedykowanym telefonem do obsługi aplikacji detektora powinny posiadać co najmniej 24 miesięczny okres gwarancji.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120"/>
              <w:ind w:hanging="457" w:left="457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 przypadku awarii detektor i/lub telefon dedykowany do obsługi aplikacji detektora powinny zostać odebrana od użytkownika następnie po naprawie dostarczony pod adres wskazany przez użytkownika.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120"/>
              <w:ind w:hanging="0" w:left="45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Dokumenty wymagane przed podpisaniem protokołu zdawczo -odbiorczego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120"/>
              <w:ind w:left="457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Wykonawca dostarczy komplet dokumentów w postaci kompletów gwarancji na dostarczony detektor oraz dedykowany do obsługi aplikacji telefon.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120"/>
              <w:ind w:left="45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345" w:leader="none"/>
        </w:tabs>
        <w:suppressAutoHyphens w:val="true"/>
        <w:bidi w:val="0"/>
        <w:spacing w:lineRule="auto" w:line="276" w:before="0" w:after="29"/>
        <w:ind w:hanging="0" w:left="0" w:right="0"/>
        <w:jc w:val="left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UWAGA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hanging="0" w:left="0" w:right="0"/>
        <w:jc w:val="both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Zamawiający wymaga, aby Wykonawca wskazał konkretne parametry oferowanego sprzętu                             w odniesieniu do każdego wymienionego przez Zamawiającego punktu oddzielnie. 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hanging="0" w:left="0" w:right="0"/>
        <w:jc w:val="both"/>
        <w:rPr>
          <w:color w:val="000000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Użycie przez Wykonawcę zapisu „spełnia” – skutkować będzie koniecznością uzupełnienia oferty. 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hanging="0" w:left="0" w:righ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color w:val="000000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color w:val="000000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color w:val="000000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color w:val="000000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  <w:t>do reprezentowania Wykonawcy)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6"/>
          <w:szCs w:val="16"/>
        </w:rPr>
      </w:pPr>
      <w:r>
        <w:rPr>
          <w:rFonts w:eastAsia="Calibri" w:cs="Arial" w:ascii="Arial" w:hAnsi="Arial"/>
          <w:i/>
          <w:color w:val="000000"/>
          <w:sz w:val="16"/>
          <w:szCs w:val="16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drawing>
            <wp:anchor behindDoc="1" distT="0" distB="0" distL="0" distR="0" simplePos="0" locked="0" layoutInCell="0" allowOverlap="1" relativeHeight="6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185"/>
              <wp:effectExtent l="0" t="0" r="0" b="0"/>
              <wp:wrapNone/>
              <wp:docPr id="1" name="Obraz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69532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1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  <w:t xml:space="preserve">                                </w:t>
    </w:r>
    <w:r>
      <w:rPr>
        <w:sz w:val="20"/>
        <w:szCs w:val="20"/>
        <w:lang w:eastAsia="es-ES"/>
      </w:rPr>
      <w:t>Internal Security Fund — Police</w:t>
      <w:br/>
      <w:t xml:space="preserve">                                            Grant Agreement No. 101034226 — SAFE STADIUM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e70239"/>
    <w:rPr>
      <w:rFonts w:ascii="Calibri" w:hAnsi="Calibri" w:eastAsia="Times New Roman" w:cs="Times New Roman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LibreOffice/7.6.0.3$Windows_X86_64 LibreOffice_project/69edd8b8ebc41d00b4de3915dc82f8f0fc3b6265</Application>
  <AppVersion>15.0000</AppVersion>
  <Pages>5</Pages>
  <Words>925</Words>
  <Characters>6213</Characters>
  <CharactersWithSpaces>7554</CharactersWithSpaces>
  <Paragraphs>123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2024-04-11T15:58:51Z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