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C1A4" w14:textId="77777777" w:rsidR="00DA1ED3" w:rsidRPr="00AD2A70" w:rsidRDefault="00DA1ED3" w:rsidP="003A658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B19AB62" w14:textId="77777777" w:rsidR="00492677" w:rsidRDefault="00492677" w:rsidP="003A658D">
      <w:pPr>
        <w:spacing w:line="360" w:lineRule="auto"/>
        <w:rPr>
          <w:rFonts w:ascii="Arial" w:hAnsi="Arial" w:cs="Arial"/>
          <w:b/>
          <w:i/>
          <w:sz w:val="20"/>
        </w:rPr>
      </w:pPr>
    </w:p>
    <w:p w14:paraId="02D0C3B8" w14:textId="537AE944" w:rsidR="00492677" w:rsidRPr="001E0163" w:rsidRDefault="00B41573" w:rsidP="00B41573">
      <w:pPr>
        <w:spacing w:line="360" w:lineRule="auto"/>
        <w:jc w:val="right"/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1E0163">
        <w:rPr>
          <w:rFonts w:asciiTheme="majorHAnsi" w:hAnsiTheme="majorHAnsi" w:cstheme="majorHAnsi"/>
          <w:b/>
          <w:i/>
          <w:sz w:val="22"/>
          <w:szCs w:val="22"/>
        </w:rPr>
        <w:t>Załącznik nr 3 do SIWZ</w:t>
      </w:r>
      <w:r w:rsidR="00492677" w:rsidRPr="001E0163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1DF119A7" w14:textId="05827049" w:rsidR="00492677" w:rsidRPr="001E0163" w:rsidRDefault="001E0163" w:rsidP="003A658D">
      <w:pPr>
        <w:spacing w:line="360" w:lineRule="auto"/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1E0163">
        <w:rPr>
          <w:rFonts w:asciiTheme="majorHAnsi" w:hAnsiTheme="majorHAnsi" w:cstheme="majorHAnsi"/>
          <w:b/>
          <w:i/>
          <w:color w:val="FF0000"/>
          <w:sz w:val="22"/>
          <w:szCs w:val="22"/>
        </w:rPr>
        <w:t>Doprecyzowanie zapisów z dnia 17.08.2020</w:t>
      </w:r>
    </w:p>
    <w:p w14:paraId="4571CACD" w14:textId="77777777" w:rsidR="00492677" w:rsidRPr="007834EB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34EB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397DEE9E" w14:textId="77777777" w:rsidR="00492677" w:rsidRPr="007834EB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F37FC91" w14:textId="77777777" w:rsidR="00945B9C" w:rsidRPr="00F76BD8" w:rsidRDefault="00945B9C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0663F6">
        <w:rPr>
          <w:rFonts w:asciiTheme="majorHAnsi" w:hAnsiTheme="majorHAnsi" w:cstheme="majorHAnsi"/>
          <w:sz w:val="22"/>
          <w:szCs w:val="22"/>
        </w:rPr>
        <w:t xml:space="preserve">Przedmiotem zamówienia jest nadzór nad 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kompleksową </w:t>
      </w:r>
      <w:r w:rsidRPr="000663F6">
        <w:rPr>
          <w:rFonts w:asciiTheme="majorHAnsi" w:hAnsiTheme="majorHAnsi" w:cstheme="majorHAnsi"/>
          <w:sz w:val="22"/>
          <w:szCs w:val="22"/>
        </w:rPr>
        <w:t>realizacją badań klinicznych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 </w:t>
      </w:r>
      <w:r w:rsidRPr="000663F6">
        <w:rPr>
          <w:rFonts w:asciiTheme="majorHAnsi" w:hAnsiTheme="majorHAnsi" w:cstheme="majorHAnsi"/>
          <w:sz w:val="22"/>
          <w:szCs w:val="22"/>
        </w:rPr>
        <w:t xml:space="preserve">(CRO) w ramach 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realizowanego </w:t>
      </w:r>
      <w:r w:rsidRPr="000663F6">
        <w:rPr>
          <w:rFonts w:asciiTheme="majorHAnsi" w:hAnsiTheme="majorHAnsi" w:cstheme="majorHAnsi"/>
          <w:sz w:val="22"/>
          <w:szCs w:val="22"/>
        </w:rPr>
        <w:t>projektu</w:t>
      </w:r>
      <w:r w:rsidR="00505F8C" w:rsidRPr="000663F6">
        <w:rPr>
          <w:rFonts w:asciiTheme="majorHAnsi" w:hAnsiTheme="majorHAnsi" w:cstheme="majorHAnsi"/>
          <w:sz w:val="22"/>
          <w:szCs w:val="22"/>
        </w:rPr>
        <w:t>:„</w:t>
      </w:r>
      <w:r w:rsidR="00F76BD8" w:rsidRPr="00F76BD8">
        <w:t xml:space="preserve"> </w:t>
      </w:r>
      <w:r w:rsidR="00F76BD8" w:rsidRPr="00F76BD8">
        <w:rPr>
          <w:rFonts w:asciiTheme="majorHAnsi" w:hAnsiTheme="majorHAnsi" w:cstheme="majorHAnsi"/>
          <w:sz w:val="22"/>
          <w:szCs w:val="22"/>
        </w:rPr>
        <w:t xml:space="preserve">Wczesne leczenie </w:t>
      </w:r>
      <w:proofErr w:type="spellStart"/>
      <w:r w:rsidR="00F76BD8" w:rsidRPr="00F76BD8">
        <w:rPr>
          <w:rFonts w:asciiTheme="majorHAnsi" w:hAnsiTheme="majorHAnsi" w:cstheme="majorHAnsi"/>
          <w:sz w:val="22"/>
          <w:szCs w:val="22"/>
        </w:rPr>
        <w:t>rituximabem</w:t>
      </w:r>
      <w:proofErr w:type="spellEnd"/>
      <w:r w:rsidR="00F76BD8" w:rsidRPr="00F76BD8">
        <w:rPr>
          <w:rFonts w:asciiTheme="majorHAnsi" w:hAnsiTheme="majorHAnsi" w:cstheme="majorHAnsi"/>
          <w:sz w:val="22"/>
          <w:szCs w:val="22"/>
        </w:rPr>
        <w:t xml:space="preserve"> dzieci z idiopatycznym zespołem nerczycowym ang. </w:t>
      </w:r>
      <w:r w:rsidR="00F76BD8" w:rsidRPr="00F76BD8">
        <w:rPr>
          <w:rFonts w:asciiTheme="majorHAnsi" w:hAnsiTheme="majorHAnsi" w:cstheme="majorHAnsi"/>
          <w:sz w:val="22"/>
          <w:szCs w:val="22"/>
          <w:lang w:val="en-US"/>
        </w:rPr>
        <w:t>ERICONS – Early RITUXIMAB in Childhood Onset Nephrotic Syndrome</w:t>
      </w:r>
      <w:r w:rsidR="00505F8C" w:rsidRPr="00F76BD8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F76BD8" w:rsidRPr="00F76BD8">
        <w:rPr>
          <w:rFonts w:asciiTheme="majorHAnsi" w:hAnsiTheme="majorHAnsi" w:cstheme="majorHAnsi"/>
          <w:sz w:val="22"/>
          <w:szCs w:val="22"/>
          <w:lang w:val="en-US"/>
        </w:rPr>
        <w:t>2019/ABM/01/00024 ERICONS</w:t>
      </w:r>
      <w:r w:rsidR="00505F8C" w:rsidRPr="00F76BD8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11E10000" w14:textId="77777777" w:rsidR="00A95096" w:rsidRPr="00F76BD8" w:rsidRDefault="00A95096" w:rsidP="003A658D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</w:p>
    <w:p w14:paraId="7FC9B1C0" w14:textId="77777777" w:rsidR="007160EE" w:rsidRPr="007834EB" w:rsidRDefault="00492677" w:rsidP="003A658D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7834EB">
        <w:rPr>
          <w:rFonts w:asciiTheme="majorHAnsi" w:hAnsiTheme="majorHAnsi" w:cstheme="majorHAnsi"/>
          <w:b/>
          <w:sz w:val="22"/>
          <w:szCs w:val="22"/>
        </w:rPr>
        <w:t>I</w:t>
      </w:r>
      <w:r w:rsidRPr="00847A1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07DB4" w:rsidRPr="00847A15">
        <w:rPr>
          <w:rFonts w:asciiTheme="majorHAnsi" w:hAnsiTheme="majorHAnsi" w:cstheme="majorHAnsi"/>
          <w:b/>
          <w:sz w:val="22"/>
          <w:szCs w:val="22"/>
        </w:rPr>
        <w:t>ZAKRES ŚWIADCZENIA USŁUGI:</w:t>
      </w:r>
      <w:r w:rsidR="00307DB4" w:rsidRPr="00847A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B503F7" w14:textId="77777777" w:rsid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Przedmiotem niniejszego zamówienia jest nadzór nad realizacją </w:t>
      </w:r>
      <w:r>
        <w:rPr>
          <w:rFonts w:asciiTheme="majorHAnsi" w:hAnsiTheme="majorHAnsi" w:cstheme="majorHAnsi"/>
          <w:sz w:val="22"/>
          <w:szCs w:val="22"/>
        </w:rPr>
        <w:t xml:space="preserve">niekomercyjnych </w:t>
      </w:r>
      <w:r w:rsidRPr="00010A02">
        <w:rPr>
          <w:rFonts w:asciiTheme="majorHAnsi" w:hAnsiTheme="majorHAnsi" w:cstheme="majorHAnsi"/>
          <w:sz w:val="22"/>
          <w:szCs w:val="22"/>
        </w:rPr>
        <w:t>badań klinicznych (CRO)</w:t>
      </w:r>
      <w:r>
        <w:rPr>
          <w:rFonts w:asciiTheme="majorHAnsi" w:hAnsiTheme="majorHAnsi" w:cstheme="majorHAnsi"/>
          <w:sz w:val="22"/>
          <w:szCs w:val="22"/>
        </w:rPr>
        <w:t xml:space="preserve"> w 9 ośrodkach w Polsce </w:t>
      </w:r>
      <w:r w:rsidRPr="00010A0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zgodnie z umową o dofinansowanie </w:t>
      </w:r>
      <w:r w:rsidRPr="00010A02">
        <w:rPr>
          <w:rFonts w:asciiTheme="majorHAnsi" w:hAnsiTheme="majorHAnsi" w:cstheme="majorHAnsi"/>
          <w:sz w:val="22"/>
          <w:szCs w:val="22"/>
        </w:rPr>
        <w:t>2019/ABM/01/00024 ERICONS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6660640" w14:textId="77777777" w:rsidR="00010A02" w:rsidRPr="00B532A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532A2">
        <w:rPr>
          <w:rFonts w:asciiTheme="majorHAnsi" w:hAnsiTheme="majorHAnsi" w:cstheme="majorHAnsi"/>
          <w:b/>
          <w:sz w:val="22"/>
          <w:szCs w:val="22"/>
        </w:rPr>
        <w:t xml:space="preserve">Zamawiający </w:t>
      </w:r>
      <w:r w:rsidR="0003542F" w:rsidRPr="00B532A2">
        <w:rPr>
          <w:rFonts w:asciiTheme="majorHAnsi" w:hAnsiTheme="majorHAnsi" w:cstheme="majorHAnsi"/>
          <w:b/>
          <w:sz w:val="22"/>
          <w:szCs w:val="22"/>
        </w:rPr>
        <w:t xml:space="preserve">(Sponsor) </w:t>
      </w:r>
      <w:r w:rsidRPr="00B532A2">
        <w:rPr>
          <w:rFonts w:asciiTheme="majorHAnsi" w:hAnsiTheme="majorHAnsi" w:cstheme="majorHAnsi"/>
          <w:b/>
          <w:sz w:val="22"/>
          <w:szCs w:val="22"/>
        </w:rPr>
        <w:t xml:space="preserve">zleci, a Wykonawca </w:t>
      </w:r>
      <w:r w:rsidR="007D4C83">
        <w:rPr>
          <w:rFonts w:asciiTheme="majorHAnsi" w:hAnsiTheme="majorHAnsi" w:cstheme="majorHAnsi"/>
          <w:b/>
          <w:sz w:val="22"/>
          <w:szCs w:val="22"/>
        </w:rPr>
        <w:t xml:space="preserve">(CRO) </w:t>
      </w:r>
      <w:r w:rsidRPr="00B532A2">
        <w:rPr>
          <w:rFonts w:asciiTheme="majorHAnsi" w:hAnsiTheme="majorHAnsi" w:cstheme="majorHAnsi"/>
          <w:b/>
          <w:sz w:val="22"/>
          <w:szCs w:val="22"/>
        </w:rPr>
        <w:t xml:space="preserve">zrealizuje  następujące czynności: </w:t>
      </w:r>
    </w:p>
    <w:p w14:paraId="430AB844" w14:textId="77777777" w:rsidR="00010A02" w:rsidRPr="001E0163" w:rsidRDefault="004504C4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trike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Zorganizowanie i przeprowadzenie badania klinicznego zgodnie z aktualnymi przepisami Europejskiej Agencji Leków regulującymi prowadzenie badań klinicznych, wytycznymi Dobrej Praktyki Badań Klinicznych Międzynarodowej Konferencji ds. Harmonizacji (International Conference on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Harmonization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of Technical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Requirements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for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Registration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Pharmaceuticals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for Human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Use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), deklaracją Helsińską oraz obowiązującymi przepisami krajowymi </w:t>
      </w:r>
      <w:r w:rsidR="00010A02" w:rsidRPr="001E0163">
        <w:rPr>
          <w:rFonts w:asciiTheme="majorHAnsi" w:hAnsiTheme="majorHAnsi" w:cstheme="majorHAnsi"/>
          <w:strike/>
          <w:color w:val="FF0000"/>
          <w:sz w:val="22"/>
          <w:szCs w:val="22"/>
        </w:rPr>
        <w:t>(dot. kraju, na terenie którego będzie prowadzone badanie kliniczne).</w:t>
      </w:r>
    </w:p>
    <w:p w14:paraId="0D4BDBA7" w14:textId="77777777" w:rsidR="00010A02" w:rsidRPr="00010A02" w:rsidRDefault="004504C4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Przeprowadzenie badania klinicznego zgodnie z protokołem badania w 9 Ośrodkach badawczych przy współpracy z Partnerem we Francji.</w:t>
      </w:r>
    </w:p>
    <w:p w14:paraId="32364C11" w14:textId="77777777" w:rsidR="00010A02" w:rsidRPr="00010A02" w:rsidRDefault="004504C4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Zarządzanie projektem, w tym planowanie i przeprowadzenie spotkań i telekonferencji, przygotowanie planu zarządzania projektem. </w:t>
      </w:r>
    </w:p>
    <w:p w14:paraId="6810FD11" w14:textId="77777777" w:rsidR="00010A02" w:rsidRPr="00010A02" w:rsidRDefault="004504C4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</w:t>
      </w:r>
      <w:r w:rsidR="00010A02" w:rsidRPr="00010A02">
        <w:rPr>
          <w:rFonts w:asciiTheme="majorHAnsi" w:hAnsiTheme="majorHAnsi" w:cstheme="majorHAnsi"/>
          <w:sz w:val="22"/>
          <w:szCs w:val="22"/>
        </w:rPr>
        <w:t>Regularne informowanie Zamawiającego o postępie badań i ewentualnych problemach.</w:t>
      </w:r>
    </w:p>
    <w:p w14:paraId="6EC96DA8" w14:textId="77777777" w:rsidR="00010A02" w:rsidRDefault="004504C4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5. </w:t>
      </w:r>
      <w:r w:rsidR="00010A02" w:rsidRPr="00010A02">
        <w:rPr>
          <w:rFonts w:asciiTheme="majorHAnsi" w:hAnsiTheme="majorHAnsi" w:cstheme="majorHAnsi"/>
          <w:sz w:val="22"/>
          <w:szCs w:val="22"/>
        </w:rPr>
        <w:t>Gotowość do spotkań z przedstawicielami Zamawiającego w celu omawiania zagadnień związanych z przedmiotem zamówienia.</w:t>
      </w:r>
    </w:p>
    <w:p w14:paraId="4080C93B" w14:textId="5BFF4B4D" w:rsidR="00E14A89" w:rsidRPr="00010A02" w:rsidRDefault="00371335" w:rsidP="00371335">
      <w:pPr>
        <w:pStyle w:val="NormalnyWeb"/>
        <w:shd w:val="clear" w:color="auto" w:fill="FFFFFF"/>
        <w:tabs>
          <w:tab w:val="left" w:pos="126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ab/>
      </w:r>
    </w:p>
    <w:p w14:paraId="27B4B85F" w14:textId="77777777" w:rsidR="00010A02" w:rsidRPr="00010A02" w:rsidRDefault="004504C4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Koordynację współpracy ze wszystkimi potencjalnymi podwykonawcami. Zamawiający dopuszcza zlecenie poszczególnych elementów zamówienia podwykonawcom. Współpracę z personelem, ekspertami i podwykonawcami realizującymi poszczególne części projektu na zlecenie Zamawiającego po </w:t>
      </w:r>
      <w:r>
        <w:rPr>
          <w:rFonts w:asciiTheme="majorHAnsi" w:hAnsiTheme="majorHAnsi" w:cstheme="majorHAnsi"/>
          <w:sz w:val="22"/>
          <w:szCs w:val="22"/>
        </w:rPr>
        <w:t>uzyskaniu wcześniejszej zgody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 Zamawiającego.</w:t>
      </w:r>
    </w:p>
    <w:p w14:paraId="5B11E97B" w14:textId="77777777" w:rsidR="00010A02" w:rsidRPr="00010A02" w:rsidRDefault="00706200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Stanowienie punktu kontaktowego i informacyjnego dla badaczy oraz członków zespołu badawczego, pracowników administracyjnych ośrodków, pracowników laboratoriów, farmaceutów, koordynatorów, etc. Prowadzenie aktywnej komunikacji z wszystkimi osobami zaangażowanymi w przeprowadzenie badania klinicznego w </w:t>
      </w:r>
      <w:r>
        <w:rPr>
          <w:rFonts w:asciiTheme="majorHAnsi" w:hAnsiTheme="majorHAnsi" w:cstheme="majorHAnsi"/>
          <w:sz w:val="22"/>
          <w:szCs w:val="22"/>
        </w:rPr>
        <w:t xml:space="preserve">każdym z </w:t>
      </w:r>
      <w:r w:rsidR="00010A02" w:rsidRPr="00010A02">
        <w:rPr>
          <w:rFonts w:asciiTheme="majorHAnsi" w:hAnsiTheme="majorHAnsi" w:cstheme="majorHAnsi"/>
          <w:sz w:val="22"/>
          <w:szCs w:val="22"/>
        </w:rPr>
        <w:t>ośrodk</w:t>
      </w:r>
      <w:r>
        <w:rPr>
          <w:rFonts w:asciiTheme="majorHAnsi" w:hAnsiTheme="majorHAnsi" w:cstheme="majorHAnsi"/>
          <w:sz w:val="22"/>
          <w:szCs w:val="22"/>
        </w:rPr>
        <w:t>ów</w:t>
      </w:r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5936ECC6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8.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Przygotowanie w języku polskim </w:t>
      </w:r>
      <w:r>
        <w:rPr>
          <w:rFonts w:asciiTheme="majorHAnsi" w:hAnsiTheme="majorHAnsi" w:cstheme="majorHAnsi"/>
          <w:sz w:val="22"/>
          <w:szCs w:val="22"/>
        </w:rPr>
        <w:t>szkoleń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 dla koordynatorów badań w Ośrodkach, zespołów badawczych z zasad GCP, IATA, protokołu badania, obsługi sprzętu medycznego koniecznego w badaniu oraz szkolenia z obsługi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2B2640A5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planu zarządzania jakością w badaniu (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Assurance Plan and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Control).</w:t>
      </w:r>
    </w:p>
    <w:p w14:paraId="758AD62D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10.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podręcznika postępowania dla farmaceuty w języku polskim w badaniu oraz informacji dotyczącej postępowania z lekami w tym z placebo  (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Pharmacy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Manual).</w:t>
      </w:r>
    </w:p>
    <w:p w14:paraId="6A476D30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11.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podręcznika dla diagnosty laboratoryjnego (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Laboratory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Manual) w języku polskim.</w:t>
      </w:r>
    </w:p>
    <w:p w14:paraId="5134B98E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12. </w:t>
      </w:r>
      <w:r w:rsidR="00010A02" w:rsidRPr="00010A02">
        <w:rPr>
          <w:rFonts w:asciiTheme="majorHAnsi" w:hAnsiTheme="majorHAnsi" w:cstheme="majorHAnsi"/>
          <w:sz w:val="22"/>
          <w:szCs w:val="22"/>
        </w:rPr>
        <w:t>Opracowanie kompleksowego planu monitorowania (Monitoring Plan) w języku polskim.</w:t>
      </w:r>
    </w:p>
    <w:p w14:paraId="6EBF64BC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13.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Przygotowanie zgodnie z zasadami Dobrej Praktyki Klinicznej ( GCP Good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Practice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>):</w:t>
      </w:r>
    </w:p>
    <w:p w14:paraId="3F886C92" w14:textId="77777777" w:rsidR="00010A02" w:rsidRPr="00010A02" w:rsidRDefault="00A11A1E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s</w:t>
      </w:r>
      <w:r w:rsidR="00010A02" w:rsidRPr="00010A02">
        <w:rPr>
          <w:rFonts w:asciiTheme="majorHAnsi" w:hAnsiTheme="majorHAnsi" w:cstheme="majorHAnsi"/>
          <w:sz w:val="22"/>
          <w:szCs w:val="22"/>
        </w:rPr>
        <w:t>treszczenia Protokołu, Protokołu Badania, Broszury Badacza</w:t>
      </w:r>
      <w:r>
        <w:rPr>
          <w:rFonts w:asciiTheme="majorHAnsi" w:hAnsiTheme="majorHAnsi" w:cstheme="majorHAnsi"/>
          <w:sz w:val="22"/>
          <w:szCs w:val="22"/>
        </w:rPr>
        <w:t>,</w:t>
      </w:r>
    </w:p>
    <w:p w14:paraId="6FB9E2A5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- informacji dla pacjenta oraz Formularza Świadomej Zgody dla pacjenta (ICF –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Informed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Consent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Form) w badaniu klinicznym wraz ze zgodą na przetwarzanie danych osobowych,</w:t>
      </w:r>
    </w:p>
    <w:p w14:paraId="4938CA54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-  dokumentacji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feasibility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i star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up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wraz z raportem podsumowującym,</w:t>
      </w:r>
    </w:p>
    <w:p w14:paraId="22B6D20F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- dokumentacji badania (ISF –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Investigator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File) dla każdego z Ośrodków zakontraktowanych w badaniu,</w:t>
      </w:r>
    </w:p>
    <w:p w14:paraId="5AA53F3F" w14:textId="77777777" w:rsidR="00010A02" w:rsidRPr="008F0016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8F0016">
        <w:rPr>
          <w:rFonts w:asciiTheme="majorHAnsi" w:hAnsiTheme="majorHAnsi" w:cstheme="majorHAnsi"/>
          <w:sz w:val="22"/>
          <w:szCs w:val="22"/>
          <w:lang w:val="en-US"/>
        </w:rPr>
        <w:lastRenderedPageBreak/>
        <w:t>- TMF Plan</w:t>
      </w:r>
      <w:r w:rsidR="008F0016" w:rsidRPr="008F0016">
        <w:rPr>
          <w:rFonts w:asciiTheme="majorHAnsi" w:hAnsiTheme="majorHAnsi" w:cstheme="majorHAnsi"/>
          <w:sz w:val="22"/>
          <w:szCs w:val="22"/>
          <w:lang w:val="en-US"/>
        </w:rPr>
        <w:t xml:space="preserve"> (TMF – Trial Master File),</w:t>
      </w:r>
    </w:p>
    <w:p w14:paraId="10783DC3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>- kompletu dokumentów badania klinicznego i bieżące uzupełnienie nad dokumentacją (TMF – Trial Master File),</w:t>
      </w:r>
    </w:p>
    <w:p w14:paraId="6FE62E90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-  skompletowanie pełnej dokumentacji do złożenia w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010A02">
        <w:rPr>
          <w:rFonts w:asciiTheme="majorHAnsi" w:hAnsiTheme="majorHAnsi" w:cstheme="majorHAnsi"/>
          <w:sz w:val="22"/>
          <w:szCs w:val="22"/>
        </w:rPr>
        <w:t xml:space="preserve"> o pozwolenie na przeprowadzenie badania klinicznego do rejestracji,</w:t>
      </w:r>
    </w:p>
    <w:p w14:paraId="6C954A83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- przygotowanie wniosku do Komisji Bioetycznej na przeprowadzenie niekomercyjnego badania klinicznego, korespondencyjnie z KB i </w:t>
      </w:r>
      <w:proofErr w:type="spellStart"/>
      <w:r w:rsidRPr="00010A02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="008F0016">
        <w:rPr>
          <w:rFonts w:asciiTheme="majorHAnsi" w:hAnsiTheme="majorHAnsi" w:cstheme="majorHAnsi"/>
          <w:sz w:val="22"/>
          <w:szCs w:val="22"/>
        </w:rPr>
        <w:t>,</w:t>
      </w:r>
    </w:p>
    <w:p w14:paraId="36587BB3" w14:textId="77777777" w:rsidR="00010A02" w:rsidRP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>- odchylenie od Protokołu</w:t>
      </w:r>
      <w:r w:rsidR="008F0016">
        <w:rPr>
          <w:rFonts w:asciiTheme="majorHAnsi" w:hAnsiTheme="majorHAnsi" w:cstheme="majorHAnsi"/>
          <w:sz w:val="22"/>
          <w:szCs w:val="22"/>
        </w:rPr>
        <w:t>,</w:t>
      </w:r>
    </w:p>
    <w:p w14:paraId="7B8E6275" w14:textId="77777777" w:rsidR="00010A02" w:rsidRPr="00010A02" w:rsidRDefault="008F0016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14.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Zaprojektowanie i wdrożenie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w</w:t>
      </w:r>
      <w:r w:rsidR="007255E9">
        <w:rPr>
          <w:rFonts w:asciiTheme="majorHAnsi" w:hAnsiTheme="majorHAnsi" w:cstheme="majorHAnsi"/>
          <w:sz w:val="22"/>
          <w:szCs w:val="22"/>
        </w:rPr>
        <w:t>e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 </w:t>
      </w:r>
      <w:r w:rsidR="007255E9">
        <w:rPr>
          <w:rFonts w:asciiTheme="majorHAnsi" w:hAnsiTheme="majorHAnsi" w:cstheme="majorHAnsi"/>
          <w:sz w:val="22"/>
          <w:szCs w:val="22"/>
        </w:rPr>
        <w:t xml:space="preserve"> wszystkich </w:t>
      </w:r>
      <w:r w:rsidR="00010A02" w:rsidRPr="00010A02">
        <w:rPr>
          <w:rFonts w:asciiTheme="majorHAnsi" w:hAnsiTheme="majorHAnsi" w:cstheme="majorHAnsi"/>
          <w:sz w:val="22"/>
          <w:szCs w:val="22"/>
        </w:rPr>
        <w:t>Ośrodkach</w:t>
      </w:r>
      <w:r w:rsidR="007255E9">
        <w:rPr>
          <w:rFonts w:asciiTheme="majorHAnsi" w:hAnsiTheme="majorHAnsi" w:cstheme="majorHAnsi"/>
          <w:sz w:val="22"/>
          <w:szCs w:val="22"/>
        </w:rPr>
        <w:t xml:space="preserve"> badawczych</w:t>
      </w:r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206419F1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15.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Nadzór nad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, w tym przygotowanie podręcznika/instrukcji dot. obsługi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eCRF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 języku polskim,</w:t>
      </w:r>
    </w:p>
    <w:p w14:paraId="3B43FAB5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16.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Sprawowanie kontroli nad jakością danych w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eCRFie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, wsparcie w rozwiązywaniu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queries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39F5C886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17.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Opracowanie formularza i przeprowadzenie procesu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feasibility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ośrodków</w:t>
      </w:r>
      <w:r>
        <w:rPr>
          <w:rFonts w:asciiTheme="majorHAnsi" w:hAnsiTheme="majorHAnsi" w:cstheme="majorHAnsi"/>
          <w:sz w:val="22"/>
          <w:szCs w:val="22"/>
        </w:rPr>
        <w:t xml:space="preserve"> badawczych</w:t>
      </w:r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251A7D32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18.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newsletter i dystrybucja do Ośrodków</w:t>
      </w:r>
      <w:r>
        <w:rPr>
          <w:rFonts w:asciiTheme="majorHAnsi" w:hAnsiTheme="majorHAnsi" w:cstheme="majorHAnsi"/>
          <w:sz w:val="22"/>
          <w:szCs w:val="22"/>
        </w:rPr>
        <w:t xml:space="preserve"> badawczych</w:t>
      </w:r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0441A9B4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19. </w:t>
      </w:r>
      <w:r w:rsidR="00010A02" w:rsidRPr="00010A02">
        <w:rPr>
          <w:rFonts w:asciiTheme="majorHAnsi" w:hAnsiTheme="majorHAnsi" w:cstheme="majorHAnsi"/>
          <w:sz w:val="22"/>
          <w:szCs w:val="22"/>
        </w:rPr>
        <w:t>Negocjacje umów o przeprowadzenie badania klinicznego z Ośrodkami oraz budżetu w Ośrodkach, zarządzanie budżetem badania przeznaczonym dla Badaczy w Oś</w:t>
      </w:r>
      <w:r>
        <w:rPr>
          <w:rFonts w:asciiTheme="majorHAnsi" w:hAnsiTheme="majorHAnsi" w:cstheme="majorHAnsi"/>
          <w:sz w:val="22"/>
          <w:szCs w:val="22"/>
        </w:rPr>
        <w:t>rodkach, rozliczenia finansowe z Ośrodkami, badaczami i  wszystkimi zaangażowanymi w realizację usługi.</w:t>
      </w:r>
    </w:p>
    <w:p w14:paraId="66181D41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20. </w:t>
      </w:r>
      <w:r w:rsidR="00010A02" w:rsidRPr="00010A02">
        <w:rPr>
          <w:rFonts w:asciiTheme="majorHAnsi" w:hAnsiTheme="majorHAnsi" w:cstheme="majorHAnsi"/>
          <w:sz w:val="22"/>
          <w:szCs w:val="22"/>
        </w:rPr>
        <w:t>Zebranie z ośrodków kluczowej dokumentacji badania niezbędnej do oceny potencjału ośrodków.</w:t>
      </w:r>
    </w:p>
    <w:p w14:paraId="46272FAA" w14:textId="77777777" w:rsidR="00010A02" w:rsidRPr="00010A02" w:rsidRDefault="007255E9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21. </w:t>
      </w:r>
      <w:r w:rsidR="00010A02" w:rsidRPr="00010A02">
        <w:rPr>
          <w:rFonts w:asciiTheme="majorHAnsi" w:hAnsiTheme="majorHAnsi" w:cstheme="majorHAnsi"/>
          <w:sz w:val="22"/>
          <w:szCs w:val="22"/>
        </w:rPr>
        <w:t>Zebranie norm laboratoryjnych, CV kierownika laboratorium oraz certyfikatów jakościowych (sprzętów użyczanych w B</w:t>
      </w:r>
      <w:r w:rsidR="004324AB">
        <w:rPr>
          <w:rFonts w:asciiTheme="majorHAnsi" w:hAnsiTheme="majorHAnsi" w:cstheme="majorHAnsi"/>
          <w:sz w:val="22"/>
          <w:szCs w:val="22"/>
        </w:rPr>
        <w:t xml:space="preserve">adaniu </w:t>
      </w:r>
      <w:r w:rsidR="00010A02" w:rsidRPr="00010A02">
        <w:rPr>
          <w:rFonts w:asciiTheme="majorHAnsi" w:hAnsiTheme="majorHAnsi" w:cstheme="majorHAnsi"/>
          <w:sz w:val="22"/>
          <w:szCs w:val="22"/>
        </w:rPr>
        <w:t>K</w:t>
      </w:r>
      <w:r w:rsidR="004324AB">
        <w:rPr>
          <w:rFonts w:asciiTheme="majorHAnsi" w:hAnsiTheme="majorHAnsi" w:cstheme="majorHAnsi"/>
          <w:sz w:val="22"/>
          <w:szCs w:val="22"/>
        </w:rPr>
        <w:t>linicznym</w:t>
      </w:r>
      <w:r w:rsidR="00010A02" w:rsidRPr="00010A02">
        <w:rPr>
          <w:rFonts w:asciiTheme="majorHAnsi" w:hAnsiTheme="majorHAnsi" w:cstheme="majorHAnsi"/>
          <w:sz w:val="22"/>
          <w:szCs w:val="22"/>
        </w:rPr>
        <w:t>).</w:t>
      </w:r>
    </w:p>
    <w:p w14:paraId="685C598F" w14:textId="77777777" w:rsidR="00010A02" w:rsidRPr="00010A02" w:rsidRDefault="0003542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08529F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planu monitorowania bezpieczeństwa (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Safety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Monitoring).</w:t>
      </w:r>
    </w:p>
    <w:p w14:paraId="39E4A3C2" w14:textId="6F38A2A8" w:rsidR="00010A02" w:rsidRPr="00010A02" w:rsidRDefault="0008529F" w:rsidP="001E0163">
      <w:pPr>
        <w:pStyle w:val="NormalnyWeb"/>
        <w:shd w:val="clear" w:color="auto" w:fill="FFFFFF"/>
        <w:tabs>
          <w:tab w:val="left" w:pos="2552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23</w:t>
      </w:r>
      <w:r w:rsidR="0003542F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Monitorowanie badania klinicznego: wykonanie wizyt selekcyjnych, otwierających</w:t>
      </w:r>
      <w:r w:rsidR="001E0163">
        <w:rPr>
          <w:rFonts w:asciiTheme="majorHAnsi" w:hAnsiTheme="majorHAnsi" w:cstheme="majorHAnsi"/>
          <w:sz w:val="22"/>
          <w:szCs w:val="22"/>
        </w:rPr>
        <w:t xml:space="preserve"> </w:t>
      </w:r>
      <w:r w:rsidR="001E0163" w:rsidRPr="00F83937">
        <w:rPr>
          <w:rFonts w:asciiTheme="majorHAnsi" w:hAnsiTheme="majorHAnsi" w:cstheme="majorHAnsi"/>
          <w:b/>
          <w:color w:val="FF0000"/>
          <w:sz w:val="22"/>
          <w:szCs w:val="22"/>
        </w:rPr>
        <w:t>(9)</w:t>
      </w:r>
      <w:r w:rsidR="00010A02" w:rsidRPr="00F83937">
        <w:rPr>
          <w:rFonts w:asciiTheme="majorHAnsi" w:hAnsiTheme="majorHAnsi" w:cstheme="majorHAnsi"/>
          <w:b/>
          <w:sz w:val="22"/>
          <w:szCs w:val="22"/>
        </w:rPr>
        <w:t>,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 monitorujących </w:t>
      </w:r>
      <w:r w:rsidR="001E0163" w:rsidRPr="00F83937">
        <w:rPr>
          <w:rFonts w:asciiTheme="majorHAnsi" w:hAnsiTheme="majorHAnsi" w:cstheme="majorHAnsi"/>
          <w:b/>
          <w:color w:val="FF0000"/>
          <w:sz w:val="22"/>
          <w:szCs w:val="22"/>
        </w:rPr>
        <w:t>(20</w:t>
      </w:r>
      <w:r w:rsidR="001E0163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="00010A02" w:rsidRPr="00010A02">
        <w:rPr>
          <w:rFonts w:asciiTheme="majorHAnsi" w:hAnsiTheme="majorHAnsi" w:cstheme="majorHAnsi"/>
          <w:sz w:val="22"/>
          <w:szCs w:val="22"/>
        </w:rPr>
        <w:t>i zamykających</w:t>
      </w:r>
      <w:r w:rsidR="001E0163">
        <w:rPr>
          <w:rFonts w:asciiTheme="majorHAnsi" w:hAnsiTheme="majorHAnsi" w:cstheme="majorHAnsi"/>
          <w:sz w:val="22"/>
          <w:szCs w:val="22"/>
        </w:rPr>
        <w:t xml:space="preserve"> </w:t>
      </w:r>
      <w:r w:rsidR="001E0163" w:rsidRPr="00F83937">
        <w:rPr>
          <w:rFonts w:asciiTheme="majorHAnsi" w:hAnsiTheme="majorHAnsi" w:cstheme="majorHAnsi"/>
          <w:b/>
          <w:color w:val="FF0000"/>
          <w:sz w:val="22"/>
          <w:szCs w:val="22"/>
        </w:rPr>
        <w:t>(9)</w:t>
      </w:r>
      <w:r w:rsidR="00010A02" w:rsidRPr="00F83937">
        <w:rPr>
          <w:rFonts w:asciiTheme="majorHAnsi" w:hAnsiTheme="majorHAnsi" w:cstheme="majorHAnsi"/>
          <w:b/>
          <w:color w:val="FF0000"/>
          <w:sz w:val="22"/>
          <w:szCs w:val="22"/>
        </w:rPr>
        <w:t>.</w:t>
      </w:r>
      <w:r w:rsidR="00010A02" w:rsidRPr="001E016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Opracowanie planu monitorowania badania (zgodnie z </w:t>
      </w:r>
      <w:r w:rsidR="00010A02" w:rsidRPr="00010A02">
        <w:rPr>
          <w:rFonts w:asciiTheme="majorHAnsi" w:hAnsiTheme="majorHAnsi" w:cstheme="majorHAnsi"/>
          <w:sz w:val="22"/>
          <w:szCs w:val="22"/>
        </w:rPr>
        <w:lastRenderedPageBreak/>
        <w:t>zaleceniami GCP i FDA), szkolenia Badaczy i całego Zespołu Badawczego z dokumentacji badania klinicznego.</w:t>
      </w:r>
    </w:p>
    <w:p w14:paraId="136B1708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</w:t>
      </w:r>
      <w:r w:rsidR="0003542F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Opracowanie planu raportowania zdarzeń niepożądanych, w badaniu (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Safety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Plan).</w:t>
      </w:r>
    </w:p>
    <w:p w14:paraId="0E5F414F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25</w:t>
      </w:r>
      <w:r w:rsidR="0003542F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Monitorowanie profilu bezpieczeństwa pacjentów poddawanych procedurze diagnostycznej/leczniczej. Zgłoszenie SAE/SUSARS do  Bazy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EudraCT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raporty roczne do KB i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URPLWMiB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>.</w:t>
      </w:r>
    </w:p>
    <w:p w14:paraId="77593E66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26</w:t>
      </w:r>
      <w:r w:rsidR="0003542F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Prowadzenie w imieniu  sponsora wszystkich działań w zakresie monitorowania bezpieczeństwa stosowania produktów badanych (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pharmacovigilance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) zgodnie z przepisami prawa polskiego oraz przepisami prawa Unii Europejskiej, w szczególności obejmujące opracowanie  standardowych procedur postępowania w obszarze PV, przygotowanie instrukcji roboczych,  przygotowanie wzoru i procedur zgłoszenia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SUSARs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, opracowanie okresowych raportów o bezpieczeństwie produktów leczniczych (DSUR). Przygotowanie i dystrybucja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DILs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>/IND/PSRI.</w:t>
      </w:r>
    </w:p>
    <w:p w14:paraId="35BBD2EE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27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Omówienie na poziomie przypadków medycznych SAE.</w:t>
      </w:r>
    </w:p>
    <w:p w14:paraId="0197C251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28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list randomizacyjnych i opracowanie systemu do randomizacji pacjentów w badaniu (IVRS).</w:t>
      </w:r>
    </w:p>
    <w:p w14:paraId="36064656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29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Czyszczenie i zamknięcie bazy danych</w:t>
      </w:r>
      <w:r w:rsidR="00B532A2">
        <w:rPr>
          <w:rFonts w:asciiTheme="majorHAnsi" w:hAnsiTheme="majorHAnsi" w:cstheme="majorHAnsi"/>
          <w:sz w:val="22"/>
          <w:szCs w:val="22"/>
        </w:rPr>
        <w:t>.</w:t>
      </w:r>
    </w:p>
    <w:p w14:paraId="29C531D4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Kodowanie dany</w:t>
      </w:r>
      <w:r w:rsidR="00B532A2">
        <w:rPr>
          <w:rFonts w:asciiTheme="majorHAnsi" w:hAnsiTheme="majorHAnsi" w:cstheme="majorHAnsi"/>
          <w:sz w:val="22"/>
          <w:szCs w:val="22"/>
        </w:rPr>
        <w:t xml:space="preserve">ch zgodnie ze słownikiem </w:t>
      </w:r>
      <w:proofErr w:type="spellStart"/>
      <w:r w:rsidR="00B532A2">
        <w:rPr>
          <w:rFonts w:asciiTheme="majorHAnsi" w:hAnsiTheme="majorHAnsi" w:cstheme="majorHAnsi"/>
          <w:sz w:val="22"/>
          <w:szCs w:val="22"/>
        </w:rPr>
        <w:t>MedDRA</w:t>
      </w:r>
      <w:proofErr w:type="spellEnd"/>
      <w:r w:rsidR="00B532A2">
        <w:rPr>
          <w:rFonts w:asciiTheme="majorHAnsi" w:hAnsiTheme="majorHAnsi" w:cstheme="majorHAnsi"/>
          <w:sz w:val="22"/>
          <w:szCs w:val="22"/>
        </w:rPr>
        <w:t>.</w:t>
      </w:r>
    </w:p>
    <w:p w14:paraId="0D155621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31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Opracowanie podręcznika do zarządzania danymi w badaniu (Data Management Manual).</w:t>
      </w:r>
    </w:p>
    <w:p w14:paraId="0695E7BD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Analiza statystyczna uzyskiwanych danych z projektu,</w:t>
      </w:r>
    </w:p>
    <w:p w14:paraId="3FE7F688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33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Nadzór nad jakością danych statystycznych w badaniu i opracowaniu wyników statystycznych w badaniu.</w:t>
      </w:r>
    </w:p>
    <w:p w14:paraId="40E99413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34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Przygotowanie i złożenie raportu końcowego (CSR –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Report) zgodnie ICH E 3 (EMA).</w:t>
      </w:r>
    </w:p>
    <w:p w14:paraId="5BE2807B" w14:textId="77777777" w:rsidR="00010A02" w:rsidRPr="00010A02" w:rsidRDefault="0008529F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35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 xml:space="preserve">Przygotowanie i przedłożenie raportu końcowego z przeprowadzonego badania do Prezesa  </w:t>
      </w:r>
      <w:proofErr w:type="spellStart"/>
      <w:r w:rsidR="00010A02" w:rsidRPr="00010A02">
        <w:rPr>
          <w:rFonts w:asciiTheme="majorHAnsi" w:hAnsiTheme="majorHAnsi" w:cstheme="majorHAnsi"/>
          <w:sz w:val="22"/>
          <w:szCs w:val="22"/>
        </w:rPr>
        <w:t>URPLWMiPL</w:t>
      </w:r>
      <w:proofErr w:type="spellEnd"/>
      <w:r w:rsidR="00010A02" w:rsidRPr="00010A02">
        <w:rPr>
          <w:rFonts w:asciiTheme="majorHAnsi" w:hAnsiTheme="majorHAnsi" w:cstheme="majorHAnsi"/>
          <w:sz w:val="22"/>
          <w:szCs w:val="22"/>
        </w:rPr>
        <w:t xml:space="preserve"> oraz Komisji Bioetycznej.</w:t>
      </w:r>
    </w:p>
    <w:p w14:paraId="2609F9C6" w14:textId="4EC871AF" w:rsidR="00621E0E" w:rsidRPr="00CC71D8" w:rsidRDefault="0008529F" w:rsidP="00CC71D8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36</w:t>
      </w:r>
      <w:r w:rsidR="00B532A2">
        <w:rPr>
          <w:rFonts w:asciiTheme="majorHAnsi" w:hAnsiTheme="majorHAnsi" w:cstheme="majorHAnsi"/>
          <w:sz w:val="22"/>
          <w:szCs w:val="22"/>
        </w:rPr>
        <w:t xml:space="preserve">. </w:t>
      </w:r>
      <w:r w:rsidR="00010A02" w:rsidRPr="00010A02">
        <w:rPr>
          <w:rFonts w:asciiTheme="majorHAnsi" w:hAnsiTheme="majorHAnsi" w:cstheme="majorHAnsi"/>
          <w:sz w:val="22"/>
          <w:szCs w:val="22"/>
        </w:rPr>
        <w:t>Przygotowanie pub</w:t>
      </w:r>
      <w:r w:rsidR="00CC71D8">
        <w:rPr>
          <w:rFonts w:asciiTheme="majorHAnsi" w:hAnsiTheme="majorHAnsi" w:cstheme="majorHAnsi"/>
          <w:sz w:val="22"/>
          <w:szCs w:val="22"/>
        </w:rPr>
        <w:t>likacji zgodnie z zasadami GCP.</w:t>
      </w:r>
    </w:p>
    <w:p w14:paraId="67BFEB55" w14:textId="77777777" w:rsidR="00E777DB" w:rsidRPr="00B41573" w:rsidRDefault="00596CB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41573">
        <w:rPr>
          <w:rFonts w:asciiTheme="majorHAnsi" w:hAnsiTheme="majorHAnsi" w:cstheme="majorHAnsi"/>
          <w:b/>
          <w:sz w:val="22"/>
          <w:szCs w:val="22"/>
        </w:rPr>
        <w:t>II. ETAPY REALIZACJI ZAMÓ</w:t>
      </w:r>
      <w:r w:rsidR="00307DB4" w:rsidRPr="00B41573">
        <w:rPr>
          <w:rFonts w:asciiTheme="majorHAnsi" w:hAnsiTheme="majorHAnsi" w:cstheme="majorHAnsi"/>
          <w:b/>
          <w:sz w:val="22"/>
          <w:szCs w:val="22"/>
        </w:rPr>
        <w:t>WIENIA</w:t>
      </w:r>
    </w:p>
    <w:p w14:paraId="48B403E1" w14:textId="77777777" w:rsidR="00B6267A" w:rsidRPr="00B41573" w:rsidRDefault="00B6267A" w:rsidP="00B626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bookmarkStart w:id="0" w:name="_Hlk45707041"/>
      <w:r w:rsidRPr="00B41573">
        <w:rPr>
          <w:rFonts w:asciiTheme="majorHAnsi" w:hAnsiTheme="majorHAnsi" w:cstheme="majorHAnsi"/>
          <w:b/>
          <w:i/>
          <w:sz w:val="22"/>
          <w:szCs w:val="22"/>
        </w:rPr>
        <w:t xml:space="preserve">ETAP I </w:t>
      </w:r>
      <w:r w:rsidR="00307DB4" w:rsidRPr="00B41573">
        <w:rPr>
          <w:rFonts w:asciiTheme="majorHAnsi" w:hAnsiTheme="majorHAnsi" w:cstheme="majorHAnsi"/>
          <w:b/>
          <w:i/>
          <w:sz w:val="22"/>
          <w:szCs w:val="22"/>
        </w:rPr>
        <w:t xml:space="preserve"> - </w:t>
      </w:r>
      <w:r w:rsidRPr="00B41573">
        <w:rPr>
          <w:rFonts w:asciiTheme="majorHAnsi" w:hAnsiTheme="majorHAnsi" w:cstheme="majorHAnsi"/>
          <w:b/>
          <w:i/>
          <w:sz w:val="22"/>
          <w:szCs w:val="22"/>
        </w:rPr>
        <w:t>Przygotowani</w:t>
      </w:r>
      <w:r w:rsidR="00307DB4" w:rsidRPr="00B41573">
        <w:rPr>
          <w:rFonts w:asciiTheme="majorHAnsi" w:hAnsiTheme="majorHAnsi" w:cstheme="majorHAnsi"/>
          <w:b/>
          <w:i/>
          <w:sz w:val="22"/>
          <w:szCs w:val="22"/>
        </w:rPr>
        <w:t>e</w:t>
      </w:r>
      <w:r w:rsidRPr="00B41573">
        <w:rPr>
          <w:rFonts w:asciiTheme="majorHAnsi" w:hAnsiTheme="majorHAnsi" w:cstheme="majorHAnsi"/>
          <w:b/>
          <w:i/>
          <w:sz w:val="22"/>
          <w:szCs w:val="22"/>
        </w:rPr>
        <w:t xml:space="preserve"> dokumentacji dotyczącej badania klinicznego :</w:t>
      </w:r>
    </w:p>
    <w:p w14:paraId="3D05AD13" w14:textId="77777777" w:rsidR="00E777DB" w:rsidRPr="00B41573" w:rsidRDefault="00EF0A2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weryfikacja pod względem zgodności z przepisami prawa polskiego otrzymanej od Sponsora dokumentacji dotyczącej badania klinicznego;</w:t>
      </w:r>
    </w:p>
    <w:p w14:paraId="1DCD7FAE" w14:textId="77777777" w:rsidR="00E777DB" w:rsidRPr="00B41573" w:rsidRDefault="00EF0A2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 xml:space="preserve">ewentualne tłumaczenie i opracowanie brakujących dokumentów;   </w:t>
      </w:r>
    </w:p>
    <w:p w14:paraId="6FA7FE84" w14:textId="77777777" w:rsidR="00E777DB" w:rsidRPr="00B41573" w:rsidRDefault="00EF0A2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 xml:space="preserve">  złożenie i przedstawienie dokumentacji w celu uzyskania pozytywnej opinii do Komisji Bioetycznej przed badaniem, uzupełnienia, aktualizacje, współpraca ze Sponsorem w tej kwestii;</w:t>
      </w:r>
    </w:p>
    <w:p w14:paraId="1ADBF2A9" w14:textId="77777777" w:rsidR="00E777DB" w:rsidRPr="00B41573" w:rsidRDefault="00EF0A2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opracowanie wzoru umów na przeprowadzenie badania klinicznego z Ośrodkiem badawczym zgodnie z § 19 rozporządzenia Ministra Zdrowia z dnia 2 maja 2012 r. w sprawie Dobrej Praktyki Klinicznej (Dz.U., poz. 489);</w:t>
      </w:r>
    </w:p>
    <w:p w14:paraId="02F8F5AB" w14:textId="77777777" w:rsidR="00E777DB" w:rsidRPr="00B41573" w:rsidRDefault="00EF0A2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opracowanie niezbędnej dokumentacji w celu uzyskania zgody Prezesa Urzędu Rejestracji Produktów Leczniczych, Wyrobów Medycznych i Produktów Biobójczych na rozpoczęcie badań klinicznych, a także aktualizacja tej dokumentacji w przypadku wprowadzenia zmian</w:t>
      </w:r>
      <w:r w:rsidR="005C2945" w:rsidRPr="00B41573">
        <w:rPr>
          <w:rFonts w:asciiTheme="majorHAnsi" w:hAnsiTheme="majorHAnsi" w:cstheme="majorHAnsi"/>
          <w:sz w:val="22"/>
          <w:szCs w:val="22"/>
        </w:rPr>
        <w:t>.</w:t>
      </w:r>
    </w:p>
    <w:p w14:paraId="23F56469" w14:textId="77777777" w:rsidR="00621E0E" w:rsidRPr="00B41573" w:rsidRDefault="00621E0E" w:rsidP="00621E0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819C7F9" w14:textId="77777777" w:rsidR="00B6267A" w:rsidRPr="00B41573" w:rsidRDefault="00301434" w:rsidP="00B626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B41573">
        <w:rPr>
          <w:rFonts w:asciiTheme="majorHAnsi" w:hAnsiTheme="majorHAnsi" w:cstheme="majorHAnsi"/>
          <w:b/>
          <w:i/>
          <w:sz w:val="22"/>
          <w:szCs w:val="22"/>
        </w:rPr>
        <w:t>ETAP II</w:t>
      </w:r>
      <w:r w:rsidR="005C2945" w:rsidRPr="00B41573">
        <w:rPr>
          <w:rFonts w:asciiTheme="majorHAnsi" w:hAnsiTheme="majorHAnsi" w:cstheme="majorHAnsi"/>
          <w:b/>
          <w:i/>
          <w:sz w:val="22"/>
          <w:szCs w:val="22"/>
        </w:rPr>
        <w:t xml:space="preserve"> - </w:t>
      </w:r>
      <w:r w:rsidR="00B6267A" w:rsidRPr="00B41573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B41573">
        <w:rPr>
          <w:rFonts w:asciiTheme="majorHAnsi" w:hAnsiTheme="majorHAnsi" w:cstheme="majorHAnsi"/>
          <w:b/>
          <w:i/>
          <w:sz w:val="22"/>
          <w:szCs w:val="22"/>
        </w:rPr>
        <w:t>N</w:t>
      </w:r>
      <w:r w:rsidR="00B6267A" w:rsidRPr="00B41573">
        <w:rPr>
          <w:rFonts w:asciiTheme="majorHAnsi" w:hAnsiTheme="majorHAnsi" w:cstheme="majorHAnsi"/>
          <w:b/>
          <w:i/>
          <w:sz w:val="22"/>
          <w:szCs w:val="22"/>
        </w:rPr>
        <w:t>adz</w:t>
      </w:r>
      <w:r w:rsidRPr="00B41573">
        <w:rPr>
          <w:rFonts w:asciiTheme="majorHAnsi" w:hAnsiTheme="majorHAnsi" w:cstheme="majorHAnsi"/>
          <w:b/>
          <w:i/>
          <w:sz w:val="22"/>
          <w:szCs w:val="22"/>
        </w:rPr>
        <w:t>ó</w:t>
      </w:r>
      <w:r w:rsidR="00B6267A" w:rsidRPr="00B41573">
        <w:rPr>
          <w:rFonts w:asciiTheme="majorHAnsi" w:hAnsiTheme="majorHAnsi" w:cstheme="majorHAnsi"/>
          <w:b/>
          <w:i/>
          <w:sz w:val="22"/>
          <w:szCs w:val="22"/>
        </w:rPr>
        <w:t xml:space="preserve">r nad realizacją badań </w:t>
      </w:r>
      <w:r w:rsidR="00596CB4" w:rsidRPr="00B41573">
        <w:rPr>
          <w:rFonts w:asciiTheme="majorHAnsi" w:hAnsiTheme="majorHAnsi" w:cstheme="majorHAnsi"/>
          <w:b/>
          <w:i/>
          <w:sz w:val="22"/>
          <w:szCs w:val="22"/>
        </w:rPr>
        <w:t>klinicznych oraz opracowanie wyników</w:t>
      </w:r>
      <w:r w:rsidR="00B6267A" w:rsidRPr="00B41573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14:paraId="30194BF0" w14:textId="77777777" w:rsidR="00E777DB" w:rsidRPr="00B41573" w:rsidRDefault="00EF0A22" w:rsidP="00621E0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monitorowanie badań klinicznych we wskazanych ośrodkach badawczych, w tym weryfikacja czy w trakcie i po zakończeniu badania są:</w:t>
      </w:r>
    </w:p>
    <w:p w14:paraId="5582FDAB" w14:textId="77777777" w:rsidR="00621E0E" w:rsidRPr="00B41573" w:rsidRDefault="00EF0A22" w:rsidP="00621E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 xml:space="preserve">chronione prawa i dobro uczestników badań, </w:t>
      </w:r>
    </w:p>
    <w:p w14:paraId="1D4A6DE7" w14:textId="77777777" w:rsidR="00621E0E" w:rsidRPr="00B41573" w:rsidRDefault="00EF0A22" w:rsidP="00621E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zbierane dane są dokładne, kompletne i możliwe do weryfikacji na podstawie dokumentów źródłowych,</w:t>
      </w:r>
    </w:p>
    <w:p w14:paraId="4B66F628" w14:textId="77777777" w:rsidR="00621E0E" w:rsidRPr="00B41573" w:rsidRDefault="00EF0A22" w:rsidP="00621E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dokumentowanie, raportowanie i analizowanie danych odbywa się lub odbywało zgodnie z protokołami badań,</w:t>
      </w:r>
    </w:p>
    <w:p w14:paraId="47FE420F" w14:textId="77777777" w:rsidR="00E777DB" w:rsidRPr="00B41573" w:rsidRDefault="00EF0A22" w:rsidP="00621E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 xml:space="preserve">badania kliniczne są lub były prowadzone zgodnie z protokołami i zaakceptowanymi </w:t>
      </w:r>
      <w:r w:rsidR="000840F2" w:rsidRPr="00B41573">
        <w:rPr>
          <w:rFonts w:asciiTheme="majorHAnsi" w:hAnsiTheme="majorHAnsi" w:cstheme="majorHAnsi"/>
          <w:sz w:val="22"/>
          <w:szCs w:val="22"/>
        </w:rPr>
        <w:t>zmianami protokołów,</w:t>
      </w:r>
    </w:p>
    <w:p w14:paraId="00391803" w14:textId="77777777" w:rsidR="00E777DB" w:rsidRPr="00B41573" w:rsidRDefault="00EF0A22" w:rsidP="00621E0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 xml:space="preserve">prowadzenie wszelkich czynności dokumentujących badania kliniczne w bezpiecznym, informatycznym systemie przechowywania danych, zapewniając dostęp do danych z możliwością weryfikacji wprowadzonych zmian, </w:t>
      </w:r>
      <w:proofErr w:type="spellStart"/>
      <w:r w:rsidRPr="00B41573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Pr="00B41573">
        <w:rPr>
          <w:rFonts w:asciiTheme="majorHAnsi" w:hAnsiTheme="majorHAnsi" w:cstheme="majorHAnsi"/>
          <w:sz w:val="22"/>
          <w:szCs w:val="22"/>
        </w:rPr>
        <w:t>,</w:t>
      </w:r>
    </w:p>
    <w:p w14:paraId="295AE769" w14:textId="77777777" w:rsidR="00E777DB" w:rsidRPr="00B41573" w:rsidRDefault="00EF0A22" w:rsidP="00621E0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 xml:space="preserve">przekazywanie w sposób oraz w terminach określonych przepisami prawa, raportów dotyczących ciężkich zdarzeń niepożądanych oraz innych istotnych zdarzeń medycznych do </w:t>
      </w:r>
      <w:r w:rsidRPr="00B41573">
        <w:rPr>
          <w:rFonts w:asciiTheme="majorHAnsi" w:hAnsiTheme="majorHAnsi" w:cstheme="majorHAnsi"/>
          <w:sz w:val="22"/>
          <w:szCs w:val="22"/>
        </w:rPr>
        <w:lastRenderedPageBreak/>
        <w:t>właściwych komisji bioetycznych, odpowiednich organów, urzędów, organizacji zajmujących się rejestracją produktów leczniczych lub nadzorem, audytem lub inspekcjami badań klinicznych</w:t>
      </w:r>
      <w:r w:rsidR="005C2945" w:rsidRPr="00B41573">
        <w:rPr>
          <w:rFonts w:asciiTheme="majorHAnsi" w:hAnsiTheme="majorHAnsi" w:cstheme="majorHAnsi"/>
          <w:sz w:val="22"/>
          <w:szCs w:val="22"/>
        </w:rPr>
        <w:t>,</w:t>
      </w:r>
    </w:p>
    <w:p w14:paraId="1F6C6317" w14:textId="77777777" w:rsidR="00E777DB" w:rsidRPr="00B41573" w:rsidRDefault="00EF0A22" w:rsidP="00621E0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współpraca CRO ze wszystkimi osobami zaangażow</w:t>
      </w:r>
      <w:r w:rsidR="00596CB4" w:rsidRPr="00B41573">
        <w:rPr>
          <w:rFonts w:asciiTheme="majorHAnsi" w:hAnsiTheme="majorHAnsi" w:cstheme="majorHAnsi"/>
          <w:sz w:val="22"/>
          <w:szCs w:val="22"/>
        </w:rPr>
        <w:t>anymi w celu realizacji usługi,</w:t>
      </w:r>
    </w:p>
    <w:p w14:paraId="1C223735" w14:textId="77777777" w:rsidR="00E777DB" w:rsidRPr="00B41573" w:rsidRDefault="00EF0A2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przeprowadzenie wszelkich czynności związanych z zamknięciem Badania klinicznego przez wszystkie Ośrodki badawcze oraz Badaczy prowadzących te badania</w:t>
      </w:r>
      <w:r w:rsidR="005C2945" w:rsidRPr="00B41573">
        <w:rPr>
          <w:rFonts w:asciiTheme="majorHAnsi" w:hAnsiTheme="majorHAnsi" w:cstheme="majorHAnsi"/>
          <w:sz w:val="22"/>
          <w:szCs w:val="22"/>
        </w:rPr>
        <w:t>,</w:t>
      </w:r>
    </w:p>
    <w:p w14:paraId="67ACBB87" w14:textId="77777777" w:rsidR="00E777DB" w:rsidRPr="00B41573" w:rsidRDefault="00EF0A2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prowadzenie pełnej dokumentacji badań i przekazanie jej Zamawiającemu po ich zakończeniu lub po odstąpieniu od niniejszej Umowy albo jej zakończeniu w inny sposób</w:t>
      </w:r>
      <w:r w:rsidR="005C2945" w:rsidRPr="00B41573">
        <w:rPr>
          <w:rFonts w:asciiTheme="majorHAnsi" w:hAnsiTheme="majorHAnsi" w:cstheme="majorHAnsi"/>
          <w:sz w:val="22"/>
          <w:szCs w:val="22"/>
        </w:rPr>
        <w:t>,</w:t>
      </w:r>
    </w:p>
    <w:p w14:paraId="68A30AA0" w14:textId="77777777" w:rsidR="00E777DB" w:rsidRPr="00B41573" w:rsidRDefault="00EF0A2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1573">
        <w:rPr>
          <w:rFonts w:asciiTheme="majorHAnsi" w:hAnsiTheme="majorHAnsi" w:cstheme="majorHAnsi"/>
          <w:sz w:val="22"/>
          <w:szCs w:val="22"/>
        </w:rPr>
        <w:t>dokumenty zostaną przekazane Sponsorowi po zakończeniu badania w sposób umożliwiający ich archiwizację.</w:t>
      </w:r>
    </w:p>
    <w:p w14:paraId="51DB7B22" w14:textId="77777777" w:rsidR="00DE65F3" w:rsidRPr="00DF54EB" w:rsidRDefault="00DE65F3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bookmarkEnd w:id="0"/>
    <w:p w14:paraId="4D757429" w14:textId="77777777" w:rsidR="00DF54EB" w:rsidRPr="00DF54EB" w:rsidRDefault="00DF54EB" w:rsidP="00DF54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F54EB">
        <w:rPr>
          <w:rFonts w:asciiTheme="majorHAnsi" w:hAnsiTheme="majorHAnsi" w:cstheme="majorHAnsi"/>
          <w:b/>
          <w:sz w:val="22"/>
          <w:szCs w:val="22"/>
        </w:rPr>
        <w:t>W celu prawidłowej realizacji zamówienia Zamawiający upoważni Wykonawcę m.in. w zakresie:</w:t>
      </w:r>
    </w:p>
    <w:p w14:paraId="2DF61732" w14:textId="38473C4E" w:rsidR="00DF54EB" w:rsidRPr="00DF54EB" w:rsidRDefault="00DF54EB" w:rsidP="00DF5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54EB">
        <w:rPr>
          <w:rFonts w:asciiTheme="majorHAnsi" w:hAnsiTheme="majorHAnsi" w:cstheme="majorHAnsi"/>
          <w:sz w:val="22"/>
          <w:szCs w:val="22"/>
        </w:rPr>
        <w:t xml:space="preserve">występowania w charakterze wnioskodawcy do </w:t>
      </w:r>
      <w:r w:rsidRPr="001E0163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odpowiednich zaangażowanych </w:t>
      </w:r>
      <w:r w:rsidR="001E016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="001E0163">
        <w:rPr>
          <w:rFonts w:asciiTheme="majorHAnsi" w:hAnsiTheme="majorHAnsi" w:cstheme="majorHAnsi"/>
          <w:color w:val="FF0000"/>
          <w:sz w:val="22"/>
          <w:szCs w:val="22"/>
        </w:rPr>
        <w:t>zaangażowanych</w:t>
      </w:r>
      <w:proofErr w:type="spellEnd"/>
      <w:r w:rsidR="001E016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DF54EB">
        <w:rPr>
          <w:rFonts w:asciiTheme="majorHAnsi" w:hAnsiTheme="majorHAnsi" w:cstheme="majorHAnsi"/>
          <w:sz w:val="22"/>
          <w:szCs w:val="22"/>
        </w:rPr>
        <w:t xml:space="preserve">Agencji </w:t>
      </w:r>
      <w:r w:rsidRPr="001E0163">
        <w:rPr>
          <w:rFonts w:asciiTheme="majorHAnsi" w:hAnsiTheme="majorHAnsi" w:cstheme="majorHAnsi"/>
          <w:strike/>
          <w:color w:val="FF0000"/>
          <w:sz w:val="22"/>
          <w:szCs w:val="22"/>
        </w:rPr>
        <w:t>regulacyjnych</w:t>
      </w:r>
      <w:r w:rsidR="001E0163">
        <w:rPr>
          <w:rFonts w:asciiTheme="majorHAnsi" w:hAnsiTheme="majorHAnsi" w:cstheme="majorHAnsi"/>
          <w:sz w:val="22"/>
          <w:szCs w:val="22"/>
        </w:rPr>
        <w:t xml:space="preserve"> </w:t>
      </w:r>
      <w:r w:rsidR="001E0163">
        <w:rPr>
          <w:rFonts w:asciiTheme="majorHAnsi" w:hAnsiTheme="majorHAnsi" w:cstheme="majorHAnsi"/>
          <w:color w:val="FF0000"/>
          <w:sz w:val="22"/>
          <w:szCs w:val="22"/>
        </w:rPr>
        <w:t>regulacyjnej</w:t>
      </w:r>
      <w:r w:rsidRPr="00DF54EB">
        <w:rPr>
          <w:rFonts w:asciiTheme="majorHAnsi" w:hAnsiTheme="majorHAnsi" w:cstheme="majorHAnsi"/>
          <w:sz w:val="22"/>
          <w:szCs w:val="22"/>
        </w:rPr>
        <w:t xml:space="preserve">, Komisji </w:t>
      </w:r>
      <w:proofErr w:type="spellStart"/>
      <w:r w:rsidRPr="001E0163">
        <w:rPr>
          <w:rFonts w:asciiTheme="majorHAnsi" w:hAnsiTheme="majorHAnsi" w:cstheme="majorHAnsi"/>
          <w:color w:val="FF0000"/>
          <w:sz w:val="22"/>
          <w:szCs w:val="22"/>
        </w:rPr>
        <w:t>Bieotyczn</w:t>
      </w:r>
      <w:r w:rsidR="001E0163">
        <w:rPr>
          <w:rFonts w:asciiTheme="majorHAnsi" w:hAnsiTheme="majorHAnsi" w:cstheme="majorHAnsi"/>
          <w:color w:val="FF0000"/>
          <w:sz w:val="22"/>
          <w:szCs w:val="22"/>
        </w:rPr>
        <w:t>ej</w:t>
      </w:r>
      <w:r w:rsidRPr="001E0163">
        <w:rPr>
          <w:rFonts w:asciiTheme="majorHAnsi" w:hAnsiTheme="majorHAnsi" w:cstheme="majorHAnsi"/>
          <w:strike/>
          <w:color w:val="FF0000"/>
          <w:sz w:val="22"/>
          <w:szCs w:val="22"/>
        </w:rPr>
        <w:t>ych</w:t>
      </w:r>
      <w:proofErr w:type="spellEnd"/>
      <w:r w:rsidRPr="00DF54EB">
        <w:rPr>
          <w:rFonts w:asciiTheme="majorHAnsi" w:hAnsiTheme="majorHAnsi" w:cstheme="majorHAnsi"/>
          <w:sz w:val="22"/>
          <w:szCs w:val="22"/>
        </w:rPr>
        <w:t xml:space="preserve"> oraz innych powiązanych organizacji i instytucji w Polsce, </w:t>
      </w:r>
      <w:r w:rsidRPr="001E0163">
        <w:rPr>
          <w:rFonts w:asciiTheme="majorHAnsi" w:hAnsiTheme="majorHAnsi" w:cstheme="majorHAnsi"/>
          <w:strike/>
          <w:color w:val="FF0000"/>
          <w:sz w:val="22"/>
          <w:szCs w:val="22"/>
        </w:rPr>
        <w:t>Francji, Hiszpanii, Włoszech</w:t>
      </w:r>
      <w:r w:rsidRPr="001E016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DF54EB">
        <w:rPr>
          <w:rFonts w:asciiTheme="majorHAnsi" w:hAnsiTheme="majorHAnsi" w:cstheme="majorHAnsi"/>
          <w:sz w:val="22"/>
          <w:szCs w:val="22"/>
        </w:rPr>
        <w:t xml:space="preserve">oraz do podpisywania i przesyłania wszystkich dokumentów wymaganych do prowadzenia badania klinicznego, </w:t>
      </w:r>
    </w:p>
    <w:p w14:paraId="54E4ABE2" w14:textId="77777777" w:rsidR="00DF54EB" w:rsidRPr="00DF54EB" w:rsidRDefault="00DF54EB" w:rsidP="00DF5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54EB">
        <w:rPr>
          <w:rFonts w:asciiTheme="majorHAnsi" w:hAnsiTheme="majorHAnsi" w:cstheme="majorHAnsi"/>
          <w:sz w:val="22"/>
          <w:szCs w:val="22"/>
        </w:rPr>
        <w:t xml:space="preserve">podpisywania odpowiednich dokumentów związanych z wnioskiem oraz odpowiadania na pytania dotyczące wniosku, </w:t>
      </w:r>
    </w:p>
    <w:p w14:paraId="7C2A8A0B" w14:textId="5FB9E803" w:rsidR="00DF54EB" w:rsidRPr="00DF54EB" w:rsidRDefault="00DF54EB" w:rsidP="00DF5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54EB">
        <w:rPr>
          <w:rFonts w:asciiTheme="majorHAnsi" w:hAnsiTheme="majorHAnsi" w:cstheme="majorHAnsi"/>
          <w:sz w:val="22"/>
          <w:szCs w:val="22"/>
        </w:rPr>
        <w:t>przedkładania zmian oraz odpowiadania na pytania dotyczące zmian.</w:t>
      </w:r>
    </w:p>
    <w:p w14:paraId="75FFED88" w14:textId="0E52A5F0" w:rsidR="00DF54EB" w:rsidRPr="00DF54EB" w:rsidRDefault="00DF54EB" w:rsidP="00DF54E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54EB">
        <w:rPr>
          <w:rFonts w:asciiTheme="majorHAnsi" w:hAnsiTheme="majorHAnsi" w:cstheme="majorHAnsi"/>
          <w:sz w:val="22"/>
          <w:szCs w:val="22"/>
        </w:rPr>
        <w:t xml:space="preserve">oraz </w:t>
      </w:r>
    </w:p>
    <w:p w14:paraId="764874B0" w14:textId="77777777" w:rsidR="00DF54EB" w:rsidRPr="00DF54EB" w:rsidRDefault="00DF54EB" w:rsidP="00DF5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54EB">
        <w:rPr>
          <w:rFonts w:asciiTheme="majorHAnsi" w:hAnsiTheme="majorHAnsi" w:cstheme="majorHAnsi"/>
          <w:sz w:val="22"/>
          <w:szCs w:val="22"/>
        </w:rPr>
        <w:t>Zamawiający opracuje Plan Komunikacji, który  zostanie przekazany Wykonawcy po podpisaniu umowy o realizację usługi.</w:t>
      </w:r>
    </w:p>
    <w:p w14:paraId="54B16E8F" w14:textId="77777777" w:rsidR="00DF54EB" w:rsidRPr="00DF54EB" w:rsidRDefault="00DF54EB" w:rsidP="00DF54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CC73FE5" w14:textId="77777777" w:rsidR="00FC5741" w:rsidRPr="007834EB" w:rsidRDefault="00FC5741" w:rsidP="00FC574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834EB">
        <w:rPr>
          <w:rFonts w:asciiTheme="majorHAnsi" w:hAnsiTheme="majorHAnsi" w:cstheme="majorHAnsi"/>
          <w:b/>
          <w:sz w:val="22"/>
          <w:szCs w:val="22"/>
        </w:rPr>
        <w:t>I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7834EB">
        <w:rPr>
          <w:rFonts w:asciiTheme="majorHAnsi" w:hAnsiTheme="majorHAnsi" w:cstheme="majorHAnsi"/>
          <w:b/>
          <w:sz w:val="22"/>
          <w:szCs w:val="22"/>
        </w:rPr>
        <w:t>I. TERMIN WYKONANIA ZAMÓWIENIA.</w:t>
      </w:r>
    </w:p>
    <w:p w14:paraId="72EAFD2B" w14:textId="61A50701" w:rsidR="00FC5741" w:rsidRPr="00FC5741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Przedmiot  zamówienia  zostanie  wykonany  w terminie  do 31.12.2025 r. od  dnia  zawarcia  umowy, z  zachowaniem  terminów  określonych  dla  Etapów  od 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7834EB">
        <w:rPr>
          <w:rFonts w:asciiTheme="majorHAnsi" w:hAnsiTheme="majorHAnsi" w:cstheme="majorHAnsi"/>
          <w:sz w:val="22"/>
          <w:szCs w:val="22"/>
        </w:rPr>
        <w:t xml:space="preserve">  do  </w:t>
      </w:r>
      <w:r>
        <w:rPr>
          <w:rFonts w:asciiTheme="majorHAnsi" w:hAnsiTheme="majorHAnsi" w:cstheme="majorHAnsi"/>
          <w:sz w:val="22"/>
          <w:szCs w:val="22"/>
        </w:rPr>
        <w:t>II</w:t>
      </w:r>
      <w:r w:rsidRPr="007834EB">
        <w:rPr>
          <w:rFonts w:asciiTheme="majorHAnsi" w:hAnsiTheme="majorHAnsi" w:cstheme="majorHAnsi"/>
          <w:sz w:val="22"/>
          <w:szCs w:val="22"/>
        </w:rPr>
        <w:t xml:space="preserve">,  na  zasadach  określonych  we </w:t>
      </w:r>
      <w:r>
        <w:rPr>
          <w:rFonts w:asciiTheme="majorHAnsi" w:hAnsiTheme="majorHAnsi" w:cstheme="majorHAnsi"/>
          <w:sz w:val="22"/>
          <w:szCs w:val="22"/>
        </w:rPr>
        <w:t>projekcie</w:t>
      </w:r>
      <w:r w:rsidRPr="007834EB">
        <w:rPr>
          <w:rFonts w:asciiTheme="majorHAnsi" w:hAnsiTheme="majorHAnsi" w:cstheme="majorHAnsi"/>
          <w:sz w:val="22"/>
          <w:szCs w:val="22"/>
        </w:rPr>
        <w:t xml:space="preserve"> </w:t>
      </w:r>
      <w:r w:rsidRPr="00FC5741">
        <w:rPr>
          <w:rFonts w:asciiTheme="majorHAnsi" w:hAnsiTheme="majorHAnsi" w:cstheme="majorHAnsi"/>
          <w:sz w:val="22"/>
          <w:szCs w:val="22"/>
        </w:rPr>
        <w:t>umowy, stanowiącym załącznik nr</w:t>
      </w:r>
      <w:r>
        <w:rPr>
          <w:rFonts w:asciiTheme="majorHAnsi" w:hAnsiTheme="majorHAnsi" w:cstheme="majorHAnsi"/>
          <w:sz w:val="22"/>
          <w:szCs w:val="22"/>
        </w:rPr>
        <w:t xml:space="preserve"> 4 </w:t>
      </w:r>
      <w:r w:rsidRPr="00FC5741">
        <w:rPr>
          <w:rFonts w:asciiTheme="majorHAnsi" w:hAnsiTheme="majorHAnsi" w:cstheme="majorHAnsi"/>
          <w:sz w:val="22"/>
          <w:szCs w:val="22"/>
        </w:rPr>
        <w:t xml:space="preserve">do SIWZ. </w:t>
      </w:r>
    </w:p>
    <w:p w14:paraId="3BFF57AD" w14:textId="77777777" w:rsidR="00FC5741" w:rsidRPr="00FC5741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</w:p>
    <w:p w14:paraId="4DD367D5" w14:textId="77777777" w:rsidR="00FC5741" w:rsidRPr="00FC5741" w:rsidRDefault="00FC5741" w:rsidP="00FC5741">
      <w:pPr>
        <w:rPr>
          <w:rFonts w:asciiTheme="majorHAnsi" w:hAnsiTheme="majorHAnsi" w:cstheme="majorHAnsi"/>
          <w:sz w:val="22"/>
          <w:szCs w:val="22"/>
        </w:rPr>
      </w:pPr>
      <w:r w:rsidRPr="00FC5741">
        <w:rPr>
          <w:rFonts w:asciiTheme="majorHAnsi" w:hAnsiTheme="majorHAnsi" w:cstheme="majorHAnsi"/>
          <w:sz w:val="22"/>
          <w:szCs w:val="22"/>
        </w:rPr>
        <w:t>Warunkiem koniecznym kontynuacji umowy jest  zakończenie  etapu I do 3 miesięcy od dnia zawarcia umowy, ale nie później niż do 10.12.2020r.,</w:t>
      </w:r>
    </w:p>
    <w:p w14:paraId="42432401" w14:textId="77777777" w:rsidR="00FC5741" w:rsidRPr="00FC5741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C91B19" w14:textId="77777777" w:rsidR="00FC5741" w:rsidRPr="00FC5741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5741">
        <w:rPr>
          <w:rFonts w:asciiTheme="majorHAnsi" w:hAnsiTheme="majorHAnsi" w:cstheme="majorHAnsi"/>
          <w:sz w:val="22"/>
          <w:szCs w:val="22"/>
        </w:rPr>
        <w:t xml:space="preserve">Zamawiający dopuszcza wydłużenie realizacji usługi.  Termin ten będzie uwarunkowany od terminu wydłużenia realizacji projektu zgodnie z aneksem do umowy fundacyjnej zawartej przez Zamawiającego z Agencją Badań Medycznych. </w:t>
      </w:r>
    </w:p>
    <w:p w14:paraId="522154AA" w14:textId="77777777" w:rsidR="00FC5741" w:rsidRPr="007834EB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5741">
        <w:rPr>
          <w:rFonts w:asciiTheme="majorHAnsi" w:hAnsiTheme="majorHAnsi" w:cstheme="majorHAnsi"/>
          <w:sz w:val="22"/>
          <w:szCs w:val="22"/>
        </w:rPr>
        <w:lastRenderedPageBreak/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63B9DBA4" w14:textId="77777777" w:rsidR="00FC5741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2C1345" w14:textId="77777777" w:rsidR="00FC5741" w:rsidRPr="007834EB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Ze względu na COVID-19 terminy rozpoczęcia, przeprowadzenia, zakończenia badań mogą ulec  zmianie.  </w:t>
      </w:r>
    </w:p>
    <w:p w14:paraId="661141E1" w14:textId="77777777" w:rsidR="00FC5741" w:rsidRPr="007834EB" w:rsidRDefault="00FC5741" w:rsidP="00FC5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072498" w14:textId="77777777" w:rsidR="00C9554D" w:rsidRDefault="00C9554D" w:rsidP="003A658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p w14:paraId="0C3A675B" w14:textId="77777777" w:rsidR="00A53410" w:rsidRPr="007834EB" w:rsidRDefault="00A53410" w:rsidP="003A658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61E553D" w14:textId="77777777" w:rsidR="00570ACB" w:rsidRPr="00C9554D" w:rsidRDefault="00570ACB" w:rsidP="003A658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570ACB" w:rsidRPr="00C9554D" w:rsidSect="00890B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A0E5" w14:textId="77777777" w:rsidR="005A55BF" w:rsidRDefault="005A55BF" w:rsidP="00343832">
      <w:r>
        <w:separator/>
      </w:r>
    </w:p>
  </w:endnote>
  <w:endnote w:type="continuationSeparator" w:id="0">
    <w:p w14:paraId="61A844CD" w14:textId="77777777" w:rsidR="005A55BF" w:rsidRDefault="005A55BF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784D" w14:textId="47EC8568" w:rsidR="00B41573" w:rsidRDefault="00B415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B3A1" wp14:editId="1B668AEE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8E394" w14:textId="77777777" w:rsidR="00B41573" w:rsidRPr="00C90CC2" w:rsidRDefault="00B41573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5B3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518E394" w14:textId="77777777" w:rsidR="00B41573" w:rsidRPr="00C90CC2" w:rsidRDefault="00B41573" w:rsidP="00C90CC2"/>
                </w:txbxContent>
              </v:textbox>
              <w10:wrap anchorx="page" anchory="margin"/>
            </v:shape>
          </w:pict>
        </mc:Fallback>
      </mc:AlternateContent>
    </w:r>
  </w:p>
  <w:p w14:paraId="14B70BED" w14:textId="77777777" w:rsidR="00B41573" w:rsidRDefault="00B41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E4D1" w14:textId="77777777" w:rsidR="005A55BF" w:rsidRDefault="005A55BF" w:rsidP="00343832">
      <w:r>
        <w:separator/>
      </w:r>
    </w:p>
  </w:footnote>
  <w:footnote w:type="continuationSeparator" w:id="0">
    <w:p w14:paraId="5340B9F4" w14:textId="77777777" w:rsidR="005A55BF" w:rsidRDefault="005A55BF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6BBF" w14:textId="77777777" w:rsidR="00B41573" w:rsidRDefault="00B41573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6D23FEF" wp14:editId="0AEBA0C6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C838374" wp14:editId="2C56C379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63769" w14:textId="77777777" w:rsidR="00B41573" w:rsidRPr="00343832" w:rsidRDefault="00B41573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1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2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5" w15:restartNumberingAfterBreak="0">
    <w:nsid w:val="04B243D2"/>
    <w:multiLevelType w:val="multilevel"/>
    <w:tmpl w:val="0D3E6B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934EF4"/>
    <w:multiLevelType w:val="multilevel"/>
    <w:tmpl w:val="73422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667A3"/>
    <w:multiLevelType w:val="hybridMultilevel"/>
    <w:tmpl w:val="BB009F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42FA2"/>
    <w:multiLevelType w:val="hybridMultilevel"/>
    <w:tmpl w:val="3DE8597A"/>
    <w:lvl w:ilvl="0" w:tplc="C97E8D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757A5"/>
    <w:multiLevelType w:val="multilevel"/>
    <w:tmpl w:val="3252E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207E6A"/>
    <w:multiLevelType w:val="multilevel"/>
    <w:tmpl w:val="FDEE4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146D"/>
    <w:multiLevelType w:val="multilevel"/>
    <w:tmpl w:val="B52CE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319650B"/>
    <w:multiLevelType w:val="multilevel"/>
    <w:tmpl w:val="22F0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FB625C"/>
    <w:multiLevelType w:val="hybridMultilevel"/>
    <w:tmpl w:val="09DA2C2E"/>
    <w:lvl w:ilvl="0" w:tplc="6AE66C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0150B9"/>
    <w:multiLevelType w:val="multilevel"/>
    <w:tmpl w:val="3934FD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2633D"/>
    <w:multiLevelType w:val="multilevel"/>
    <w:tmpl w:val="B3042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D02FA"/>
    <w:multiLevelType w:val="hybridMultilevel"/>
    <w:tmpl w:val="AF7C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12136"/>
    <w:multiLevelType w:val="multilevel"/>
    <w:tmpl w:val="90A826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0436E6"/>
    <w:multiLevelType w:val="hybridMultilevel"/>
    <w:tmpl w:val="B066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36FEB"/>
    <w:multiLevelType w:val="multilevel"/>
    <w:tmpl w:val="ACD03D54"/>
    <w:lvl w:ilvl="0">
      <w:start w:val="3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0000"/>
      </w:rPr>
    </w:lvl>
  </w:abstractNum>
  <w:abstractNum w:abstractNumId="20" w15:restartNumberingAfterBreak="0">
    <w:nsid w:val="21237B3B"/>
    <w:multiLevelType w:val="multilevel"/>
    <w:tmpl w:val="D4CE7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2288"/>
    <w:multiLevelType w:val="multilevel"/>
    <w:tmpl w:val="EC18E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Arial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41D80"/>
    <w:multiLevelType w:val="multilevel"/>
    <w:tmpl w:val="FA7292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1B763F"/>
    <w:multiLevelType w:val="hybridMultilevel"/>
    <w:tmpl w:val="4F6E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A19FD"/>
    <w:multiLevelType w:val="multilevel"/>
    <w:tmpl w:val="70BEA4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B7E3533"/>
    <w:multiLevelType w:val="multilevel"/>
    <w:tmpl w:val="665C48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4D4621"/>
    <w:multiLevelType w:val="multilevel"/>
    <w:tmpl w:val="2FB2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74CD1"/>
    <w:multiLevelType w:val="hybridMultilevel"/>
    <w:tmpl w:val="64BAD09C"/>
    <w:lvl w:ilvl="0" w:tplc="88B059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B4344"/>
    <w:multiLevelType w:val="multilevel"/>
    <w:tmpl w:val="7F30E7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25B782A"/>
    <w:multiLevelType w:val="multilevel"/>
    <w:tmpl w:val="3A843AFC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E0D03"/>
    <w:multiLevelType w:val="multilevel"/>
    <w:tmpl w:val="C07A9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1" w15:restartNumberingAfterBreak="0">
    <w:nsid w:val="3CAB2CEA"/>
    <w:multiLevelType w:val="multilevel"/>
    <w:tmpl w:val="9AA6418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10" w:hanging="2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831325"/>
    <w:multiLevelType w:val="hybridMultilevel"/>
    <w:tmpl w:val="9586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64AEE"/>
    <w:multiLevelType w:val="hybridMultilevel"/>
    <w:tmpl w:val="3EFA480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0BF0FB1"/>
    <w:multiLevelType w:val="multilevel"/>
    <w:tmpl w:val="58DED3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C26BAB"/>
    <w:multiLevelType w:val="hybridMultilevel"/>
    <w:tmpl w:val="7ABE6F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4083500"/>
    <w:multiLevelType w:val="hybridMultilevel"/>
    <w:tmpl w:val="7B447B1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4D90491"/>
    <w:multiLevelType w:val="hybridMultilevel"/>
    <w:tmpl w:val="AD82D2FA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F6E9E"/>
    <w:multiLevelType w:val="multilevel"/>
    <w:tmpl w:val="03A41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8CB58D5"/>
    <w:multiLevelType w:val="multilevel"/>
    <w:tmpl w:val="38A461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82"/>
    <w:multiLevelType w:val="multilevel"/>
    <w:tmpl w:val="47FAA2E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D5DB1"/>
    <w:multiLevelType w:val="multilevel"/>
    <w:tmpl w:val="428E9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0ED50ED"/>
    <w:multiLevelType w:val="hybridMultilevel"/>
    <w:tmpl w:val="A6F8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486B64"/>
    <w:multiLevelType w:val="multilevel"/>
    <w:tmpl w:val="3DE4A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5590C44"/>
    <w:multiLevelType w:val="multilevel"/>
    <w:tmpl w:val="733AD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73A9F"/>
    <w:multiLevelType w:val="hybridMultilevel"/>
    <w:tmpl w:val="327C22D2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B4F7D"/>
    <w:multiLevelType w:val="multilevel"/>
    <w:tmpl w:val="8102B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8" w15:restartNumberingAfterBreak="0">
    <w:nsid w:val="5D8A4122"/>
    <w:multiLevelType w:val="multilevel"/>
    <w:tmpl w:val="CFAA4832"/>
    <w:lvl w:ilvl="0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/>
        <w:sz w:val="2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5DC804D2"/>
    <w:multiLevelType w:val="hybridMultilevel"/>
    <w:tmpl w:val="1BE0AF0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5E5069C8"/>
    <w:multiLevelType w:val="multilevel"/>
    <w:tmpl w:val="B16A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03A4DD2"/>
    <w:multiLevelType w:val="multilevel"/>
    <w:tmpl w:val="6C6C0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4A3001C"/>
    <w:multiLevelType w:val="multilevel"/>
    <w:tmpl w:val="E5EE92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6AB0705"/>
    <w:multiLevelType w:val="multilevel"/>
    <w:tmpl w:val="EAE2614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/>
        <w:b/>
        <w:sz w:val="20"/>
      </w:rPr>
    </w:lvl>
    <w:lvl w:ilvl="1">
      <w:start w:val="2"/>
      <w:numFmt w:val="decimal"/>
      <w:lvlText w:val="%2"/>
      <w:lvlJc w:val="left"/>
      <w:pPr>
        <w:tabs>
          <w:tab w:val="num" w:pos="927"/>
        </w:tabs>
        <w:ind w:left="927" w:hanging="360"/>
      </w:pPr>
      <w:rPr>
        <w:rFonts w:eastAsia="Calibri" w:cs="Tahoma"/>
      </w:rPr>
    </w:lvl>
    <w:lvl w:ilvl="2">
      <w:start w:val="1"/>
      <w:numFmt w:val="decimal"/>
      <w:lvlText w:val="%1.%2.%3.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775"/>
        </w:tabs>
        <w:ind w:left="2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17"/>
        </w:tabs>
        <w:ind w:left="34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9"/>
        </w:tabs>
        <w:ind w:left="3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41"/>
        </w:tabs>
        <w:ind w:left="4341" w:hanging="1800"/>
      </w:pPr>
    </w:lvl>
  </w:abstractNum>
  <w:abstractNum w:abstractNumId="54" w15:restartNumberingAfterBreak="0">
    <w:nsid w:val="676A1287"/>
    <w:multiLevelType w:val="multilevel"/>
    <w:tmpl w:val="AD145B44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E5892"/>
    <w:multiLevelType w:val="multilevel"/>
    <w:tmpl w:val="57ACC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45231E8"/>
    <w:multiLevelType w:val="multilevel"/>
    <w:tmpl w:val="77849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4B92A1C"/>
    <w:multiLevelType w:val="hybridMultilevel"/>
    <w:tmpl w:val="82F44E96"/>
    <w:lvl w:ilvl="0" w:tplc="5CBACD1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30618"/>
    <w:multiLevelType w:val="hybridMultilevel"/>
    <w:tmpl w:val="FEC220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7962E2"/>
    <w:multiLevelType w:val="multilevel"/>
    <w:tmpl w:val="A34052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Arial" w:eastAsia="Calibri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1" w15:restartNumberingAfterBreak="0">
    <w:nsid w:val="79E0696A"/>
    <w:multiLevelType w:val="multilevel"/>
    <w:tmpl w:val="9078E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A380F22"/>
    <w:multiLevelType w:val="multilevel"/>
    <w:tmpl w:val="6DDC087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9"/>
  </w:num>
  <w:num w:numId="4">
    <w:abstractNumId w:val="13"/>
  </w:num>
  <w:num w:numId="5">
    <w:abstractNumId w:val="35"/>
  </w:num>
  <w:num w:numId="6">
    <w:abstractNumId w:val="33"/>
  </w:num>
  <w:num w:numId="7">
    <w:abstractNumId w:val="23"/>
  </w:num>
  <w:num w:numId="8">
    <w:abstractNumId w:val="16"/>
  </w:num>
  <w:num w:numId="9">
    <w:abstractNumId w:val="43"/>
  </w:num>
  <w:num w:numId="10">
    <w:abstractNumId w:val="32"/>
  </w:num>
  <w:num w:numId="11">
    <w:abstractNumId w:val="1"/>
  </w:num>
  <w:num w:numId="12">
    <w:abstractNumId w:val="26"/>
  </w:num>
  <w:num w:numId="13">
    <w:abstractNumId w:val="45"/>
  </w:num>
  <w:num w:numId="14">
    <w:abstractNumId w:val="20"/>
  </w:num>
  <w:num w:numId="15">
    <w:abstractNumId w:val="24"/>
  </w:num>
  <w:num w:numId="16">
    <w:abstractNumId w:val="53"/>
  </w:num>
  <w:num w:numId="17">
    <w:abstractNumId w:val="21"/>
  </w:num>
  <w:num w:numId="18">
    <w:abstractNumId w:val="15"/>
  </w:num>
  <w:num w:numId="19">
    <w:abstractNumId w:val="48"/>
  </w:num>
  <w:num w:numId="20">
    <w:abstractNumId w:val="10"/>
  </w:num>
  <w:num w:numId="21">
    <w:abstractNumId w:val="41"/>
  </w:num>
  <w:num w:numId="22">
    <w:abstractNumId w:val="6"/>
  </w:num>
  <w:num w:numId="23">
    <w:abstractNumId w:val="25"/>
  </w:num>
  <w:num w:numId="24">
    <w:abstractNumId w:val="14"/>
  </w:num>
  <w:num w:numId="25">
    <w:abstractNumId w:val="17"/>
  </w:num>
  <w:num w:numId="26">
    <w:abstractNumId w:val="9"/>
  </w:num>
  <w:num w:numId="27">
    <w:abstractNumId w:val="19"/>
  </w:num>
  <w:num w:numId="28">
    <w:abstractNumId w:val="60"/>
  </w:num>
  <w:num w:numId="29">
    <w:abstractNumId w:val="62"/>
  </w:num>
  <w:num w:numId="30">
    <w:abstractNumId w:val="44"/>
  </w:num>
  <w:num w:numId="31">
    <w:abstractNumId w:val="38"/>
  </w:num>
  <w:num w:numId="32">
    <w:abstractNumId w:val="12"/>
  </w:num>
  <w:num w:numId="33">
    <w:abstractNumId w:val="50"/>
  </w:num>
  <w:num w:numId="34">
    <w:abstractNumId w:val="5"/>
  </w:num>
  <w:num w:numId="35">
    <w:abstractNumId w:val="56"/>
  </w:num>
  <w:num w:numId="36">
    <w:abstractNumId w:val="28"/>
  </w:num>
  <w:num w:numId="37">
    <w:abstractNumId w:val="30"/>
  </w:num>
  <w:num w:numId="38">
    <w:abstractNumId w:val="31"/>
  </w:num>
  <w:num w:numId="39">
    <w:abstractNumId w:val="54"/>
  </w:num>
  <w:num w:numId="40">
    <w:abstractNumId w:val="11"/>
  </w:num>
  <w:num w:numId="41">
    <w:abstractNumId w:val="61"/>
  </w:num>
  <w:num w:numId="42">
    <w:abstractNumId w:val="51"/>
  </w:num>
  <w:num w:numId="43">
    <w:abstractNumId w:val="22"/>
  </w:num>
  <w:num w:numId="44">
    <w:abstractNumId w:val="52"/>
  </w:num>
  <w:num w:numId="45">
    <w:abstractNumId w:val="47"/>
  </w:num>
  <w:num w:numId="46">
    <w:abstractNumId w:val="39"/>
  </w:num>
  <w:num w:numId="47">
    <w:abstractNumId w:val="34"/>
  </w:num>
  <w:num w:numId="48">
    <w:abstractNumId w:val="34"/>
    <w:lvlOverride w:ilvl="0">
      <w:startOverride w:val="1"/>
    </w:lvlOverride>
  </w:num>
  <w:num w:numId="49">
    <w:abstractNumId w:val="42"/>
  </w:num>
  <w:num w:numId="50">
    <w:abstractNumId w:val="27"/>
  </w:num>
  <w:num w:numId="51">
    <w:abstractNumId w:val="18"/>
  </w:num>
  <w:num w:numId="52">
    <w:abstractNumId w:val="7"/>
  </w:num>
  <w:num w:numId="53">
    <w:abstractNumId w:val="58"/>
  </w:num>
  <w:num w:numId="54">
    <w:abstractNumId w:val="8"/>
  </w:num>
  <w:num w:numId="55">
    <w:abstractNumId w:val="37"/>
  </w:num>
  <w:num w:numId="56">
    <w:abstractNumId w:val="55"/>
  </w:num>
  <w:num w:numId="57">
    <w:abstractNumId w:val="29"/>
  </w:num>
  <w:num w:numId="58">
    <w:abstractNumId w:val="46"/>
  </w:num>
  <w:num w:numId="59">
    <w:abstractNumId w:val="59"/>
  </w:num>
  <w:num w:numId="60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246A1"/>
    <w:rsid w:val="0003542F"/>
    <w:rsid w:val="00050C97"/>
    <w:rsid w:val="00054728"/>
    <w:rsid w:val="000663F6"/>
    <w:rsid w:val="000679A2"/>
    <w:rsid w:val="00073120"/>
    <w:rsid w:val="000840F2"/>
    <w:rsid w:val="0008529F"/>
    <w:rsid w:val="0008730F"/>
    <w:rsid w:val="00090CE7"/>
    <w:rsid w:val="000A79A2"/>
    <w:rsid w:val="000B1374"/>
    <w:rsid w:val="000C3758"/>
    <w:rsid w:val="000C41E6"/>
    <w:rsid w:val="000C591B"/>
    <w:rsid w:val="000D1BE5"/>
    <w:rsid w:val="000D273A"/>
    <w:rsid w:val="000D2C57"/>
    <w:rsid w:val="000D5957"/>
    <w:rsid w:val="000D6319"/>
    <w:rsid w:val="000E5B76"/>
    <w:rsid w:val="00111DD3"/>
    <w:rsid w:val="001121C4"/>
    <w:rsid w:val="00116D3D"/>
    <w:rsid w:val="00117F3A"/>
    <w:rsid w:val="0012025A"/>
    <w:rsid w:val="00125909"/>
    <w:rsid w:val="00131B90"/>
    <w:rsid w:val="00136DD4"/>
    <w:rsid w:val="001463FA"/>
    <w:rsid w:val="00150850"/>
    <w:rsid w:val="001508BA"/>
    <w:rsid w:val="00160FFF"/>
    <w:rsid w:val="0016272E"/>
    <w:rsid w:val="00164AE6"/>
    <w:rsid w:val="001800A6"/>
    <w:rsid w:val="00192770"/>
    <w:rsid w:val="00193C2C"/>
    <w:rsid w:val="00195A96"/>
    <w:rsid w:val="001B1707"/>
    <w:rsid w:val="001B20AC"/>
    <w:rsid w:val="001B6597"/>
    <w:rsid w:val="001B76AB"/>
    <w:rsid w:val="001D7206"/>
    <w:rsid w:val="001E0163"/>
    <w:rsid w:val="001E05AE"/>
    <w:rsid w:val="001E4571"/>
    <w:rsid w:val="001E4D04"/>
    <w:rsid w:val="001E658D"/>
    <w:rsid w:val="001E6A01"/>
    <w:rsid w:val="00204DF5"/>
    <w:rsid w:val="002079F9"/>
    <w:rsid w:val="00211AFC"/>
    <w:rsid w:val="00217406"/>
    <w:rsid w:val="002227AB"/>
    <w:rsid w:val="00247BCD"/>
    <w:rsid w:val="00251C90"/>
    <w:rsid w:val="00252C61"/>
    <w:rsid w:val="00255590"/>
    <w:rsid w:val="00255F15"/>
    <w:rsid w:val="00260B0B"/>
    <w:rsid w:val="00260B66"/>
    <w:rsid w:val="002669B1"/>
    <w:rsid w:val="00271E56"/>
    <w:rsid w:val="00275519"/>
    <w:rsid w:val="00276CB6"/>
    <w:rsid w:val="00277D0E"/>
    <w:rsid w:val="00281332"/>
    <w:rsid w:val="00290816"/>
    <w:rsid w:val="00295560"/>
    <w:rsid w:val="002A42AB"/>
    <w:rsid w:val="002B1558"/>
    <w:rsid w:val="002B717B"/>
    <w:rsid w:val="002B722C"/>
    <w:rsid w:val="002C07A3"/>
    <w:rsid w:val="002D51FB"/>
    <w:rsid w:val="002E5CA4"/>
    <w:rsid w:val="002F718E"/>
    <w:rsid w:val="00301434"/>
    <w:rsid w:val="00307DB4"/>
    <w:rsid w:val="00312267"/>
    <w:rsid w:val="0031772F"/>
    <w:rsid w:val="003225A2"/>
    <w:rsid w:val="00343832"/>
    <w:rsid w:val="0035006F"/>
    <w:rsid w:val="00360FF3"/>
    <w:rsid w:val="00371335"/>
    <w:rsid w:val="00372C0B"/>
    <w:rsid w:val="00375579"/>
    <w:rsid w:val="003863ED"/>
    <w:rsid w:val="00397084"/>
    <w:rsid w:val="003A4DF4"/>
    <w:rsid w:val="003A5F20"/>
    <w:rsid w:val="003A658D"/>
    <w:rsid w:val="003C25BE"/>
    <w:rsid w:val="003D0B55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42588"/>
    <w:rsid w:val="004504C4"/>
    <w:rsid w:val="00454AE6"/>
    <w:rsid w:val="004719E7"/>
    <w:rsid w:val="00475472"/>
    <w:rsid w:val="004830CB"/>
    <w:rsid w:val="00484458"/>
    <w:rsid w:val="00492677"/>
    <w:rsid w:val="00493BD3"/>
    <w:rsid w:val="004A28D5"/>
    <w:rsid w:val="004A50DA"/>
    <w:rsid w:val="004C0EB7"/>
    <w:rsid w:val="004D183D"/>
    <w:rsid w:val="004D6BC8"/>
    <w:rsid w:val="004E29E1"/>
    <w:rsid w:val="004F312B"/>
    <w:rsid w:val="004F6E60"/>
    <w:rsid w:val="005021FF"/>
    <w:rsid w:val="00504309"/>
    <w:rsid w:val="005051CF"/>
    <w:rsid w:val="00505F8C"/>
    <w:rsid w:val="00512194"/>
    <w:rsid w:val="00523AF2"/>
    <w:rsid w:val="00523B1A"/>
    <w:rsid w:val="00532B3A"/>
    <w:rsid w:val="0054121C"/>
    <w:rsid w:val="0054397E"/>
    <w:rsid w:val="0054479B"/>
    <w:rsid w:val="005453AD"/>
    <w:rsid w:val="0055282C"/>
    <w:rsid w:val="005652B9"/>
    <w:rsid w:val="00570ACB"/>
    <w:rsid w:val="00581F69"/>
    <w:rsid w:val="005833CC"/>
    <w:rsid w:val="00596CB4"/>
    <w:rsid w:val="005A05D5"/>
    <w:rsid w:val="005A1688"/>
    <w:rsid w:val="005A55BF"/>
    <w:rsid w:val="005B2570"/>
    <w:rsid w:val="005B6A8F"/>
    <w:rsid w:val="005B7B82"/>
    <w:rsid w:val="005C2945"/>
    <w:rsid w:val="005C5EDC"/>
    <w:rsid w:val="005D0823"/>
    <w:rsid w:val="005D08F8"/>
    <w:rsid w:val="005D58E7"/>
    <w:rsid w:val="005E5A2C"/>
    <w:rsid w:val="005E690D"/>
    <w:rsid w:val="005F24AD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62F0B"/>
    <w:rsid w:val="00663F88"/>
    <w:rsid w:val="0066518F"/>
    <w:rsid w:val="006708BD"/>
    <w:rsid w:val="006743EA"/>
    <w:rsid w:val="00676709"/>
    <w:rsid w:val="0067690E"/>
    <w:rsid w:val="0068310F"/>
    <w:rsid w:val="006862F0"/>
    <w:rsid w:val="00691DC7"/>
    <w:rsid w:val="006A2AA6"/>
    <w:rsid w:val="006A346C"/>
    <w:rsid w:val="006A44B9"/>
    <w:rsid w:val="006A5F0D"/>
    <w:rsid w:val="006C2AD2"/>
    <w:rsid w:val="006C4C04"/>
    <w:rsid w:val="006D08C0"/>
    <w:rsid w:val="006D56C8"/>
    <w:rsid w:val="006F4AF2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1A8A"/>
    <w:rsid w:val="00764073"/>
    <w:rsid w:val="0076774E"/>
    <w:rsid w:val="007712E0"/>
    <w:rsid w:val="00773277"/>
    <w:rsid w:val="00777610"/>
    <w:rsid w:val="007834EB"/>
    <w:rsid w:val="007908A5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117CB"/>
    <w:rsid w:val="00814541"/>
    <w:rsid w:val="008253E4"/>
    <w:rsid w:val="00847A15"/>
    <w:rsid w:val="0085694C"/>
    <w:rsid w:val="008631E6"/>
    <w:rsid w:val="00866D18"/>
    <w:rsid w:val="00870A12"/>
    <w:rsid w:val="0087540F"/>
    <w:rsid w:val="00885683"/>
    <w:rsid w:val="00890BAA"/>
    <w:rsid w:val="008A52BE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331C"/>
    <w:rsid w:val="008F3C70"/>
    <w:rsid w:val="0090169E"/>
    <w:rsid w:val="00902D8A"/>
    <w:rsid w:val="00905512"/>
    <w:rsid w:val="00912F94"/>
    <w:rsid w:val="00926DBF"/>
    <w:rsid w:val="0093114A"/>
    <w:rsid w:val="009345D7"/>
    <w:rsid w:val="00943DFF"/>
    <w:rsid w:val="00945B9C"/>
    <w:rsid w:val="00951D43"/>
    <w:rsid w:val="0095758E"/>
    <w:rsid w:val="00957749"/>
    <w:rsid w:val="009577F4"/>
    <w:rsid w:val="009766C1"/>
    <w:rsid w:val="00977407"/>
    <w:rsid w:val="0098253E"/>
    <w:rsid w:val="00982A42"/>
    <w:rsid w:val="00983EE6"/>
    <w:rsid w:val="009A4515"/>
    <w:rsid w:val="009B4BDA"/>
    <w:rsid w:val="009B59E1"/>
    <w:rsid w:val="009C08D0"/>
    <w:rsid w:val="009C12AE"/>
    <w:rsid w:val="009C4B68"/>
    <w:rsid w:val="009D656A"/>
    <w:rsid w:val="009E080F"/>
    <w:rsid w:val="009E3B0A"/>
    <w:rsid w:val="009F7A5E"/>
    <w:rsid w:val="00A06CFC"/>
    <w:rsid w:val="00A11A1E"/>
    <w:rsid w:val="00A21792"/>
    <w:rsid w:val="00A32835"/>
    <w:rsid w:val="00A370B7"/>
    <w:rsid w:val="00A40EAD"/>
    <w:rsid w:val="00A41A81"/>
    <w:rsid w:val="00A42BF4"/>
    <w:rsid w:val="00A470C1"/>
    <w:rsid w:val="00A519B7"/>
    <w:rsid w:val="00A53410"/>
    <w:rsid w:val="00A55AD2"/>
    <w:rsid w:val="00A62B16"/>
    <w:rsid w:val="00A6638D"/>
    <w:rsid w:val="00A74689"/>
    <w:rsid w:val="00A770A1"/>
    <w:rsid w:val="00A90AEB"/>
    <w:rsid w:val="00A94286"/>
    <w:rsid w:val="00A95096"/>
    <w:rsid w:val="00AA775F"/>
    <w:rsid w:val="00AB2D30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2BD1"/>
    <w:rsid w:val="00B41573"/>
    <w:rsid w:val="00B441FF"/>
    <w:rsid w:val="00B47255"/>
    <w:rsid w:val="00B47B02"/>
    <w:rsid w:val="00B532A2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D27A1"/>
    <w:rsid w:val="00BE358D"/>
    <w:rsid w:val="00BF34BC"/>
    <w:rsid w:val="00C01637"/>
    <w:rsid w:val="00C0491E"/>
    <w:rsid w:val="00C11C51"/>
    <w:rsid w:val="00C11EDE"/>
    <w:rsid w:val="00C158A6"/>
    <w:rsid w:val="00C311AF"/>
    <w:rsid w:val="00C33E5B"/>
    <w:rsid w:val="00C35D39"/>
    <w:rsid w:val="00C44A95"/>
    <w:rsid w:val="00C56CA4"/>
    <w:rsid w:val="00C57669"/>
    <w:rsid w:val="00C64A2E"/>
    <w:rsid w:val="00C67964"/>
    <w:rsid w:val="00C90290"/>
    <w:rsid w:val="00C90CC2"/>
    <w:rsid w:val="00C9554D"/>
    <w:rsid w:val="00CC6DA5"/>
    <w:rsid w:val="00CC71D8"/>
    <w:rsid w:val="00CC78CB"/>
    <w:rsid w:val="00CD0D8C"/>
    <w:rsid w:val="00CD1E64"/>
    <w:rsid w:val="00CE7542"/>
    <w:rsid w:val="00CF3DBA"/>
    <w:rsid w:val="00CF7E43"/>
    <w:rsid w:val="00D02D41"/>
    <w:rsid w:val="00D25762"/>
    <w:rsid w:val="00D37846"/>
    <w:rsid w:val="00D4575B"/>
    <w:rsid w:val="00D569AE"/>
    <w:rsid w:val="00D60009"/>
    <w:rsid w:val="00D81CD7"/>
    <w:rsid w:val="00D831D5"/>
    <w:rsid w:val="00D846F6"/>
    <w:rsid w:val="00D86039"/>
    <w:rsid w:val="00D95428"/>
    <w:rsid w:val="00D95E56"/>
    <w:rsid w:val="00D9673D"/>
    <w:rsid w:val="00DA0CB5"/>
    <w:rsid w:val="00DA1ED3"/>
    <w:rsid w:val="00DB22B1"/>
    <w:rsid w:val="00DB6B3F"/>
    <w:rsid w:val="00DC2AB4"/>
    <w:rsid w:val="00DC31EF"/>
    <w:rsid w:val="00DC58C0"/>
    <w:rsid w:val="00DC6899"/>
    <w:rsid w:val="00DC6A7D"/>
    <w:rsid w:val="00DD35D3"/>
    <w:rsid w:val="00DE65F3"/>
    <w:rsid w:val="00DF24E0"/>
    <w:rsid w:val="00DF31F3"/>
    <w:rsid w:val="00DF3F9E"/>
    <w:rsid w:val="00DF54EB"/>
    <w:rsid w:val="00DF6C8D"/>
    <w:rsid w:val="00E07919"/>
    <w:rsid w:val="00E14A89"/>
    <w:rsid w:val="00E20A88"/>
    <w:rsid w:val="00E26892"/>
    <w:rsid w:val="00E27459"/>
    <w:rsid w:val="00E3019D"/>
    <w:rsid w:val="00E540DF"/>
    <w:rsid w:val="00E5743F"/>
    <w:rsid w:val="00E57E4D"/>
    <w:rsid w:val="00E57E9B"/>
    <w:rsid w:val="00E600A0"/>
    <w:rsid w:val="00E601DF"/>
    <w:rsid w:val="00E62613"/>
    <w:rsid w:val="00E67603"/>
    <w:rsid w:val="00E777DB"/>
    <w:rsid w:val="00E9347A"/>
    <w:rsid w:val="00EB4B03"/>
    <w:rsid w:val="00EB56BF"/>
    <w:rsid w:val="00EC4F94"/>
    <w:rsid w:val="00EE2A45"/>
    <w:rsid w:val="00EE4C4D"/>
    <w:rsid w:val="00EE54EB"/>
    <w:rsid w:val="00EF0A22"/>
    <w:rsid w:val="00EF49D8"/>
    <w:rsid w:val="00F0033B"/>
    <w:rsid w:val="00F11865"/>
    <w:rsid w:val="00F1480E"/>
    <w:rsid w:val="00F1495B"/>
    <w:rsid w:val="00F22522"/>
    <w:rsid w:val="00F357DF"/>
    <w:rsid w:val="00F4117D"/>
    <w:rsid w:val="00F76BD8"/>
    <w:rsid w:val="00F83937"/>
    <w:rsid w:val="00F84099"/>
    <w:rsid w:val="00F9119B"/>
    <w:rsid w:val="00F92454"/>
    <w:rsid w:val="00F937ED"/>
    <w:rsid w:val="00FA0FA1"/>
    <w:rsid w:val="00FA48F0"/>
    <w:rsid w:val="00FB14A6"/>
    <w:rsid w:val="00FC2CB4"/>
    <w:rsid w:val="00FC30E1"/>
    <w:rsid w:val="00FC5741"/>
    <w:rsid w:val="00FD4818"/>
    <w:rsid w:val="00FD6FB1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32C9"/>
  <w15:docId w15:val="{774992DA-B267-47E5-9FF2-DC237C8B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4160-AF5F-49BF-9CF3-1142F067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2</cp:revision>
  <cp:lastPrinted>2020-07-17T06:40:00Z</cp:lastPrinted>
  <dcterms:created xsi:type="dcterms:W3CDTF">2020-08-16T14:16:00Z</dcterms:created>
  <dcterms:modified xsi:type="dcterms:W3CDTF">2020-08-16T14:16:00Z</dcterms:modified>
</cp:coreProperties>
</file>