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AE" w:rsidRPr="00A06D92" w:rsidRDefault="00154AAE" w:rsidP="00D464C6">
      <w:pPr>
        <w:spacing w:line="276" w:lineRule="auto"/>
        <w:rPr>
          <w:rFonts w:eastAsia="Calibri" w:cs="Arial"/>
          <w:lang w:eastAsia="en-US"/>
        </w:rPr>
      </w:pPr>
      <w:r w:rsidRPr="00A06D92">
        <w:rPr>
          <w:rFonts w:eastAsia="Calibri" w:cs="Arial"/>
          <w:lang w:eastAsia="en-US"/>
        </w:rPr>
        <w:t>Załącznik A do SWZ Opis przedmiotu zamówienia</w:t>
      </w:r>
      <w:r w:rsidR="00D464C6">
        <w:rPr>
          <w:rFonts w:eastAsia="Calibri" w:cs="Arial"/>
          <w:lang w:eastAsia="en-US"/>
        </w:rPr>
        <w:t xml:space="preserve"> </w:t>
      </w:r>
      <w:r w:rsidRPr="00A06D92">
        <w:rPr>
          <w:rFonts w:eastAsia="Calibri" w:cs="Arial"/>
          <w:lang w:eastAsia="en-US"/>
        </w:rPr>
        <w:t>ZNAK SPRAWY: WG.271.</w:t>
      </w:r>
      <w:r w:rsidR="009A54E8">
        <w:rPr>
          <w:rFonts w:eastAsia="Calibri" w:cs="Arial"/>
          <w:lang w:eastAsia="en-US"/>
        </w:rPr>
        <w:t>1</w:t>
      </w:r>
      <w:r w:rsidR="00390EAF">
        <w:rPr>
          <w:rFonts w:eastAsia="Calibri" w:cs="Arial"/>
          <w:lang w:eastAsia="en-US"/>
        </w:rPr>
        <w:t>1</w:t>
      </w:r>
      <w:bookmarkStart w:id="0" w:name="_GoBack"/>
      <w:bookmarkEnd w:id="0"/>
      <w:r w:rsidR="00401D98" w:rsidRPr="00A06D92">
        <w:rPr>
          <w:rFonts w:eastAsia="Calibri" w:cs="Arial"/>
          <w:lang w:eastAsia="en-US"/>
        </w:rPr>
        <w:t>.</w:t>
      </w:r>
      <w:r w:rsidRPr="00A06D92">
        <w:rPr>
          <w:rFonts w:eastAsia="Calibri" w:cs="Arial"/>
          <w:lang w:eastAsia="en-US"/>
        </w:rPr>
        <w:t>20</w:t>
      </w:r>
      <w:r w:rsidR="00323E6D" w:rsidRPr="00A06D92">
        <w:rPr>
          <w:rFonts w:eastAsia="Calibri" w:cs="Arial"/>
          <w:lang w:eastAsia="en-US"/>
        </w:rPr>
        <w:t>2</w:t>
      </w:r>
      <w:r w:rsidR="009A54E8">
        <w:rPr>
          <w:rFonts w:eastAsia="Calibri" w:cs="Arial"/>
          <w:lang w:eastAsia="en-US"/>
        </w:rPr>
        <w:t>3</w:t>
      </w:r>
      <w:r w:rsidR="00B935A1" w:rsidRPr="00A06D92">
        <w:rPr>
          <w:rFonts w:eastAsia="Calibri" w:cs="Arial"/>
          <w:lang w:eastAsia="en-US"/>
        </w:rPr>
        <w:t>.WC</w:t>
      </w:r>
    </w:p>
    <w:p w:rsidR="00CC5082" w:rsidRPr="003B4FFD" w:rsidRDefault="00CC5082" w:rsidP="00154AAE">
      <w:pPr>
        <w:jc w:val="center"/>
        <w:rPr>
          <w:rFonts w:eastAsia="Calibri" w:cs="Arial"/>
          <w:sz w:val="16"/>
          <w:lang w:eastAsia="en-US"/>
        </w:rPr>
      </w:pPr>
    </w:p>
    <w:p w:rsidR="00B935A1" w:rsidRPr="00A06D92" w:rsidRDefault="00B54FD9" w:rsidP="00B935A1">
      <w:pPr>
        <w:tabs>
          <w:tab w:val="left" w:pos="567"/>
        </w:tabs>
        <w:spacing w:before="60" w:after="60"/>
        <w:jc w:val="center"/>
        <w:rPr>
          <w:rFonts w:cs="Arial"/>
        </w:rPr>
      </w:pPr>
      <w:r>
        <w:rPr>
          <w:rFonts w:cs="Arial"/>
        </w:rPr>
        <w:t>Przeb</w:t>
      </w:r>
      <w:r w:rsidR="00A06D92">
        <w:rPr>
          <w:rFonts w:cs="Arial"/>
        </w:rPr>
        <w:t xml:space="preserve">udowa </w:t>
      </w:r>
      <w:r w:rsidR="00B935A1" w:rsidRPr="00A06D92">
        <w:rPr>
          <w:rFonts w:cs="Arial"/>
        </w:rPr>
        <w:t>dróg na terenie gminy Stężyca</w:t>
      </w:r>
      <w:r>
        <w:rPr>
          <w:rFonts w:cs="Arial"/>
        </w:rPr>
        <w:t xml:space="preserve">: nawierzchnie </w:t>
      </w:r>
      <w:r w:rsidR="00D464C6">
        <w:rPr>
          <w:rFonts w:cs="Arial"/>
        </w:rPr>
        <w:t>z płyt drogowych</w:t>
      </w:r>
    </w:p>
    <w:p w:rsidR="00154AAE" w:rsidRPr="00A06D92" w:rsidRDefault="00154AAE" w:rsidP="00154AAE">
      <w:pPr>
        <w:jc w:val="center"/>
        <w:rPr>
          <w:rFonts w:eastAsia="Calibri" w:cs="Arial"/>
          <w:lang w:eastAsia="en-US"/>
        </w:rPr>
      </w:pPr>
      <w:r w:rsidRPr="00A06D92">
        <w:rPr>
          <w:rFonts w:eastAsia="Calibri" w:cs="Arial"/>
          <w:lang w:eastAsia="en-US"/>
        </w:rPr>
        <w:t>Opis przedmiotu zamówienia</w:t>
      </w:r>
    </w:p>
    <w:p w:rsidR="00CC5082" w:rsidRPr="003B4FFD" w:rsidRDefault="00CC5082" w:rsidP="00154AAE">
      <w:pPr>
        <w:jc w:val="center"/>
        <w:rPr>
          <w:rFonts w:eastAsia="Calibri" w:cs="Arial"/>
          <w:sz w:val="16"/>
          <w:lang w:eastAsia="en-US"/>
        </w:rPr>
      </w:pPr>
    </w:p>
    <w:p w:rsidR="00841CD0" w:rsidRPr="00A06D92" w:rsidRDefault="00822EC1" w:rsidP="00A06D92">
      <w:pPr>
        <w:numPr>
          <w:ilvl w:val="0"/>
          <w:numId w:val="1"/>
        </w:numPr>
        <w:spacing w:after="120" w:line="276" w:lineRule="auto"/>
        <w:ind w:left="284" w:hanging="284"/>
        <w:jc w:val="both"/>
        <w:rPr>
          <w:rFonts w:eastAsia="Calibri" w:cs="Arial"/>
          <w:lang w:eastAsia="en-US"/>
        </w:rPr>
      </w:pPr>
      <w:r w:rsidRPr="00A06D92">
        <w:rPr>
          <w:rFonts w:eastAsia="Calibri" w:cs="Arial"/>
          <w:lang w:eastAsia="en-US"/>
        </w:rPr>
        <w:t>Zamówienie obejmuje wykonanie</w:t>
      </w:r>
      <w:r w:rsidR="00B05E7A">
        <w:rPr>
          <w:rFonts w:eastAsia="Calibri" w:cs="Arial"/>
          <w:lang w:eastAsia="en-US"/>
        </w:rPr>
        <w:t xml:space="preserve"> nawierzchni z płyt drogowych </w:t>
      </w:r>
      <w:r w:rsidR="002F04A6" w:rsidRPr="00A06D92">
        <w:rPr>
          <w:rFonts w:eastAsia="Calibri" w:cs="Arial"/>
          <w:lang w:eastAsia="en-US"/>
        </w:rPr>
        <w:t>na terenie gminy Stężyca</w:t>
      </w:r>
      <w:r w:rsidRPr="00A06D92">
        <w:rPr>
          <w:rFonts w:eastAsia="Calibri" w:cs="Arial"/>
          <w:lang w:eastAsia="en-US"/>
        </w:rPr>
        <w:t xml:space="preserve"> wg następującego zakresu:</w:t>
      </w:r>
    </w:p>
    <w:p w:rsidR="00F232B9" w:rsidRPr="00A06D92" w:rsidRDefault="00F232B9" w:rsidP="00F232B9">
      <w:pPr>
        <w:spacing w:before="60" w:after="60" w:line="276" w:lineRule="auto"/>
        <w:jc w:val="center"/>
        <w:rPr>
          <w:rFonts w:eastAsia="Calibri" w:cs="Arial"/>
          <w:lang w:eastAsia="en-US"/>
        </w:rPr>
      </w:pPr>
      <w:r w:rsidRPr="00A06D92">
        <w:rPr>
          <w:rFonts w:eastAsia="Calibri" w:cs="Arial"/>
          <w:lang w:eastAsia="en-US"/>
        </w:rPr>
        <w:t>PRZEDMIAR ROBÓT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7938"/>
        <w:gridCol w:w="851"/>
        <w:gridCol w:w="992"/>
      </w:tblGrid>
      <w:tr w:rsidR="00B54FD9" w:rsidRPr="00A06D92" w:rsidTr="003B4FFD">
        <w:trPr>
          <w:trHeight w:val="102"/>
          <w:tblHeader/>
        </w:trPr>
        <w:tc>
          <w:tcPr>
            <w:tcW w:w="567" w:type="dxa"/>
            <w:shd w:val="clear" w:color="auto" w:fill="auto"/>
            <w:noWrap/>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Lp.</w:t>
            </w:r>
          </w:p>
        </w:tc>
        <w:tc>
          <w:tcPr>
            <w:tcW w:w="7938"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Podstawa wyceny, zakres, opis robót</w:t>
            </w:r>
          </w:p>
        </w:tc>
        <w:tc>
          <w:tcPr>
            <w:tcW w:w="851" w:type="dxa"/>
          </w:tcPr>
          <w:p w:rsidR="00B54FD9" w:rsidRPr="00A06D92" w:rsidRDefault="00B54FD9" w:rsidP="00492671">
            <w:pPr>
              <w:jc w:val="center"/>
              <w:rPr>
                <w:rFonts w:eastAsia="Calibri" w:cs="Arial"/>
                <w:bCs/>
                <w:lang w:eastAsia="en-US"/>
              </w:rPr>
            </w:pPr>
            <w:r>
              <w:rPr>
                <w:rFonts w:eastAsia="Calibri" w:cs="Arial"/>
                <w:bCs/>
                <w:lang w:eastAsia="en-US"/>
              </w:rPr>
              <w:t>jednostka</w:t>
            </w:r>
          </w:p>
        </w:tc>
        <w:tc>
          <w:tcPr>
            <w:tcW w:w="992" w:type="dxa"/>
            <w:shd w:val="clear" w:color="auto" w:fill="auto"/>
            <w:tcMar>
              <w:left w:w="28" w:type="dxa"/>
              <w:right w:w="28" w:type="dxa"/>
            </w:tcMar>
            <w:vAlign w:val="center"/>
            <w:hideMark/>
          </w:tcPr>
          <w:p w:rsidR="00B54FD9" w:rsidRPr="00A06D92" w:rsidRDefault="00B54FD9" w:rsidP="00492671">
            <w:pPr>
              <w:jc w:val="center"/>
              <w:rPr>
                <w:rFonts w:eastAsia="Calibri" w:cs="Arial"/>
                <w:bCs/>
                <w:lang w:eastAsia="en-US"/>
              </w:rPr>
            </w:pPr>
            <w:r w:rsidRPr="00A06D92">
              <w:rPr>
                <w:rFonts w:eastAsia="Calibri" w:cs="Arial"/>
                <w:bCs/>
                <w:lang w:eastAsia="en-US"/>
              </w:rPr>
              <w:t>Ilość</w:t>
            </w:r>
          </w:p>
        </w:tc>
      </w:tr>
      <w:tr w:rsidR="00B54FD9" w:rsidRPr="00D464C6" w:rsidTr="00B54FD9">
        <w:trPr>
          <w:trHeight w:val="70"/>
          <w:tblHeader/>
        </w:trPr>
        <w:tc>
          <w:tcPr>
            <w:tcW w:w="567" w:type="dxa"/>
            <w:shd w:val="clear" w:color="auto" w:fill="auto"/>
            <w:noWrap/>
            <w:vAlign w:val="center"/>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1</w:t>
            </w:r>
          </w:p>
        </w:tc>
        <w:tc>
          <w:tcPr>
            <w:tcW w:w="7938" w:type="dxa"/>
            <w:shd w:val="clear" w:color="auto" w:fill="auto"/>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2</w:t>
            </w:r>
          </w:p>
        </w:tc>
        <w:tc>
          <w:tcPr>
            <w:tcW w:w="851" w:type="dxa"/>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3</w:t>
            </w:r>
          </w:p>
        </w:tc>
        <w:tc>
          <w:tcPr>
            <w:tcW w:w="992" w:type="dxa"/>
            <w:shd w:val="clear" w:color="auto" w:fill="auto"/>
          </w:tcPr>
          <w:p w:rsidR="00B54FD9" w:rsidRPr="00D464C6" w:rsidRDefault="00B54FD9" w:rsidP="00492671">
            <w:pPr>
              <w:jc w:val="center"/>
              <w:rPr>
                <w:rFonts w:eastAsia="Calibri" w:cs="Arial"/>
                <w:bCs/>
                <w:sz w:val="18"/>
                <w:lang w:eastAsia="en-US"/>
              </w:rPr>
            </w:pPr>
            <w:r w:rsidRPr="00D464C6">
              <w:rPr>
                <w:rFonts w:eastAsia="Calibri" w:cs="Arial"/>
                <w:bCs/>
                <w:sz w:val="18"/>
                <w:lang w:eastAsia="en-US"/>
              </w:rPr>
              <w:t>4</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1.</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color w:val="000000"/>
                <w:sz w:val="22"/>
                <w:szCs w:val="22"/>
              </w:rPr>
              <w:t xml:space="preserve">Rozbiórka elementów dróg: płyt prefabrykowanych żelbetowych wielootworowych o wymiarach 100x75x12,5 cm oraz elementów towarzyszących, w tym </w:t>
            </w:r>
            <w:r w:rsidRPr="00D464C6">
              <w:rPr>
                <w:rFonts w:cs="Arial"/>
                <w:sz w:val="22"/>
                <w:szCs w:val="22"/>
              </w:rPr>
              <w:t xml:space="preserve">transport załadunek i rozładunek płyt na odległość do 12 km, </w:t>
            </w:r>
            <w:r w:rsidRPr="00D464C6">
              <w:rPr>
                <w:rFonts w:cs="Arial"/>
                <w:bCs/>
                <w:sz w:val="22"/>
                <w:szCs w:val="22"/>
              </w:rPr>
              <w:t>D-01.02.04</w:t>
            </w:r>
          </w:p>
        </w:tc>
        <w:tc>
          <w:tcPr>
            <w:tcW w:w="851" w:type="dxa"/>
            <w:vAlign w:val="center"/>
          </w:tcPr>
          <w:p w:rsidR="00B05E7A" w:rsidRDefault="00B05E7A" w:rsidP="00B05E7A">
            <w:pPr>
              <w:spacing w:before="120" w:after="120"/>
              <w:rPr>
                <w:rFonts w:cs="Arial"/>
              </w:rPr>
            </w:pPr>
            <w:r>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1230</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2</w:t>
            </w:r>
            <w:r w:rsidRPr="00A06D92">
              <w:rPr>
                <w:rFonts w:eastAsia="Calibri" w:cs="Arial"/>
                <w:lang w:eastAsia="en-US"/>
              </w:rPr>
              <w:t>.</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color w:val="000000"/>
                <w:sz w:val="22"/>
                <w:szCs w:val="22"/>
              </w:rPr>
              <w:t>Koryta wykonywane mechanicznie gł. 5 cm w gruncie kat. II-VI z profilowaniem podłoża,</w:t>
            </w:r>
            <w:r w:rsidRPr="00D464C6">
              <w:rPr>
                <w:rFonts w:cs="Arial"/>
                <w:sz w:val="22"/>
                <w:szCs w:val="22"/>
              </w:rPr>
              <w:t xml:space="preserve"> D-04.01.01</w:t>
            </w:r>
          </w:p>
        </w:tc>
        <w:tc>
          <w:tcPr>
            <w:tcW w:w="851" w:type="dxa"/>
            <w:vAlign w:val="center"/>
          </w:tcPr>
          <w:p w:rsidR="00B05E7A" w:rsidRDefault="00B05E7A" w:rsidP="00B05E7A">
            <w:pPr>
              <w:spacing w:before="120" w:after="120"/>
              <w:rPr>
                <w:rFonts w:cs="Arial"/>
              </w:rPr>
            </w:pPr>
            <w:r>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510</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3</w:t>
            </w:r>
            <w:r w:rsidRPr="00A06D92">
              <w:rPr>
                <w:rFonts w:eastAsia="Calibri" w:cs="Arial"/>
                <w:lang w:eastAsia="en-US"/>
              </w:rPr>
              <w:t>.</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sz w:val="22"/>
                <w:szCs w:val="22"/>
              </w:rPr>
              <w:t>Koryta wykonywane mechanicznie gł. 10 cm w gruncie kat. II-VI z profilowaniem podłoża, D-04.01.01</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2720</w:t>
            </w:r>
          </w:p>
        </w:tc>
      </w:tr>
      <w:tr w:rsidR="00B05E7A" w:rsidRPr="00A06D92" w:rsidTr="00B64FE1">
        <w:trPr>
          <w:trHeight w:val="363"/>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4.</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sz w:val="22"/>
                <w:szCs w:val="22"/>
              </w:rPr>
              <w:t>Koryta wykonywane mechanicznie gł. 15 cm w gruncie kat. II-VI z profilowaniem podłoża, D-04.01.01</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Default="00B05E7A" w:rsidP="00B05E7A">
            <w:pPr>
              <w:jc w:val="center"/>
              <w:rPr>
                <w:rFonts w:cs="Arial"/>
                <w:color w:val="000000"/>
              </w:rPr>
            </w:pPr>
            <w:r>
              <w:rPr>
                <w:rFonts w:cs="Arial"/>
                <w:color w:val="000000"/>
              </w:rPr>
              <w:t>1962</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5.</w:t>
            </w:r>
          </w:p>
        </w:tc>
        <w:tc>
          <w:tcPr>
            <w:tcW w:w="7938" w:type="dxa"/>
            <w:shd w:val="clear" w:color="auto" w:fill="auto"/>
            <w:tcMar>
              <w:left w:w="57" w:type="dxa"/>
              <w:right w:w="57" w:type="dxa"/>
            </w:tcMar>
            <w:vAlign w:val="bottom"/>
          </w:tcPr>
          <w:p w:rsidR="00B05E7A" w:rsidRPr="00D464C6" w:rsidRDefault="00B05E7A" w:rsidP="00B05E7A">
            <w:pPr>
              <w:jc w:val="center"/>
              <w:rPr>
                <w:rFonts w:cs="Arial"/>
                <w:color w:val="000000"/>
                <w:sz w:val="22"/>
                <w:szCs w:val="22"/>
              </w:rPr>
            </w:pPr>
            <w:r w:rsidRPr="00D464C6">
              <w:rPr>
                <w:rFonts w:cs="Arial"/>
                <w:sz w:val="22"/>
                <w:szCs w:val="22"/>
              </w:rPr>
              <w:t>Podbudowa z kruszywa łamanego stabilizowanego mechanicznie 0-31,5 mm gr. 5 cm, D-04.04.02</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150</w:t>
            </w:r>
          </w:p>
        </w:tc>
      </w:tr>
      <w:tr w:rsidR="00B05E7A" w:rsidRPr="00A06D92" w:rsidTr="00B64FE1">
        <w:trPr>
          <w:trHeight w:val="363"/>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6.</w:t>
            </w:r>
          </w:p>
        </w:tc>
        <w:tc>
          <w:tcPr>
            <w:tcW w:w="7938" w:type="dxa"/>
            <w:shd w:val="clear" w:color="auto" w:fill="auto"/>
            <w:tcMar>
              <w:left w:w="57" w:type="dxa"/>
              <w:right w:w="57" w:type="dxa"/>
            </w:tcMar>
            <w:vAlign w:val="bottom"/>
          </w:tcPr>
          <w:p w:rsidR="00B05E7A" w:rsidRPr="00D464C6" w:rsidRDefault="00B05E7A" w:rsidP="00B05E7A">
            <w:pPr>
              <w:jc w:val="center"/>
              <w:rPr>
                <w:rFonts w:cs="Arial"/>
                <w:sz w:val="22"/>
                <w:szCs w:val="22"/>
              </w:rPr>
            </w:pPr>
            <w:r w:rsidRPr="00D464C6">
              <w:rPr>
                <w:rFonts w:cs="Arial"/>
                <w:sz w:val="22"/>
                <w:szCs w:val="22"/>
              </w:rPr>
              <w:t>Podbudowa z kruszywa łamanego stabilizowanego mechanicznie 0-31,5 mm gr. 10 cm, D-04.04.02</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3160</w:t>
            </w:r>
          </w:p>
        </w:tc>
      </w:tr>
      <w:tr w:rsidR="00B05E7A" w:rsidRPr="00A06D92" w:rsidTr="00B64FE1">
        <w:trPr>
          <w:trHeight w:val="363"/>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7.</w:t>
            </w:r>
          </w:p>
        </w:tc>
        <w:tc>
          <w:tcPr>
            <w:tcW w:w="7938" w:type="dxa"/>
            <w:shd w:val="clear" w:color="auto" w:fill="auto"/>
            <w:tcMar>
              <w:left w:w="57" w:type="dxa"/>
              <w:right w:w="57" w:type="dxa"/>
            </w:tcMar>
            <w:vAlign w:val="bottom"/>
          </w:tcPr>
          <w:p w:rsidR="00B05E7A" w:rsidRPr="00D464C6" w:rsidRDefault="00B05E7A" w:rsidP="00B05E7A">
            <w:pPr>
              <w:jc w:val="center"/>
              <w:rPr>
                <w:rFonts w:cs="Arial"/>
                <w:sz w:val="22"/>
                <w:szCs w:val="22"/>
              </w:rPr>
            </w:pPr>
            <w:r w:rsidRPr="00D464C6">
              <w:rPr>
                <w:rFonts w:cs="Arial"/>
                <w:sz w:val="22"/>
                <w:szCs w:val="22"/>
              </w:rPr>
              <w:t>Podbudowa z kruszywa łamanego stabilizowanego mechanicznie 0-31,5 mm gr. 15 cm, D-04.04.02</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1882</w:t>
            </w:r>
          </w:p>
        </w:tc>
      </w:tr>
      <w:tr w:rsidR="00B05E7A" w:rsidRPr="00A06D92" w:rsidTr="00B64FE1">
        <w:trPr>
          <w:trHeight w:val="585"/>
        </w:trPr>
        <w:tc>
          <w:tcPr>
            <w:tcW w:w="567" w:type="dxa"/>
            <w:shd w:val="clear" w:color="auto" w:fill="auto"/>
            <w:tcMar>
              <w:left w:w="57" w:type="dxa"/>
              <w:right w:w="57" w:type="dxa"/>
            </w:tcMar>
            <w:vAlign w:val="center"/>
          </w:tcPr>
          <w:p w:rsidR="00B05E7A" w:rsidRPr="00A06D92" w:rsidRDefault="00B05E7A" w:rsidP="00B05E7A">
            <w:pPr>
              <w:spacing w:before="120" w:after="120"/>
              <w:rPr>
                <w:rFonts w:eastAsia="Calibri" w:cs="Arial"/>
                <w:lang w:eastAsia="en-US"/>
              </w:rPr>
            </w:pPr>
            <w:r>
              <w:rPr>
                <w:rFonts w:eastAsia="Calibri" w:cs="Arial"/>
                <w:lang w:eastAsia="en-US"/>
              </w:rPr>
              <w:t>8</w:t>
            </w:r>
            <w:r w:rsidRPr="00A06D92">
              <w:rPr>
                <w:rFonts w:eastAsia="Calibri" w:cs="Arial"/>
                <w:lang w:eastAsia="en-US"/>
              </w:rPr>
              <w:t>.</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Ułożenie płyt</w:t>
            </w:r>
            <w:r w:rsidRPr="00D464C6">
              <w:rPr>
                <w:rFonts w:cs="Arial"/>
                <w:color w:val="000000"/>
                <w:sz w:val="22"/>
                <w:szCs w:val="22"/>
              </w:rPr>
              <w:t xml:space="preserve"> prefabrykowanych żelbetowych wielootworowych o wymiarach 100x75x12,5 cm </w:t>
            </w:r>
            <w:r w:rsidRPr="00D464C6">
              <w:rPr>
                <w:rFonts w:cs="Arial"/>
                <w:sz w:val="22"/>
                <w:szCs w:val="22"/>
              </w:rPr>
              <w:t>- pas szerokości 0,75 m (utwardzenie pobocza) na podsypce piaskowej wraz z zamuleniem piaskiem, SST 10.03.01a</w:t>
            </w:r>
          </w:p>
        </w:tc>
        <w:tc>
          <w:tcPr>
            <w:tcW w:w="851" w:type="dxa"/>
            <w:vAlign w:val="center"/>
          </w:tcPr>
          <w:p w:rsidR="00B05E7A" w:rsidRDefault="00B05E7A" w:rsidP="00B05E7A">
            <w:r w:rsidRPr="00B9577D">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150</w:t>
            </w:r>
          </w:p>
        </w:tc>
      </w:tr>
      <w:tr w:rsidR="00B05E7A" w:rsidRPr="00A06D92" w:rsidTr="00B64FE1">
        <w:trPr>
          <w:trHeight w:val="585"/>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9.</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 xml:space="preserve">Ułożenie płyt </w:t>
            </w:r>
            <w:r w:rsidRPr="00D464C6">
              <w:rPr>
                <w:rFonts w:cs="Arial"/>
                <w:color w:val="000000"/>
                <w:sz w:val="22"/>
                <w:szCs w:val="22"/>
              </w:rPr>
              <w:t xml:space="preserve">prefabrykowanych żelbetowych wielootworowych o wymiarach 100x75x12,5 cm </w:t>
            </w:r>
            <w:r w:rsidRPr="00D464C6">
              <w:rPr>
                <w:rFonts w:cs="Arial"/>
                <w:sz w:val="22"/>
                <w:szCs w:val="22"/>
              </w:rPr>
              <w:t>- pasy szerokości 0,75 m (dwuślad) na podsypce piaskowej wraz z zamuleniem piaskiem, SST 10.03.01a</w:t>
            </w:r>
          </w:p>
        </w:tc>
        <w:tc>
          <w:tcPr>
            <w:tcW w:w="851" w:type="dxa"/>
            <w:vAlign w:val="center"/>
          </w:tcPr>
          <w:p w:rsidR="00B05E7A" w:rsidRDefault="00B05E7A" w:rsidP="00B05E7A">
            <w:r w:rsidRPr="00716EFA">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900</w:t>
            </w:r>
          </w:p>
        </w:tc>
      </w:tr>
      <w:tr w:rsidR="00B05E7A" w:rsidRPr="00A06D92" w:rsidTr="00B64FE1">
        <w:trPr>
          <w:trHeight w:val="585"/>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10.</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 xml:space="preserve">Ułożenie nawierzchni z płyt </w:t>
            </w:r>
            <w:proofErr w:type="spellStart"/>
            <w:r w:rsidRPr="00D464C6">
              <w:rPr>
                <w:rFonts w:cs="Arial"/>
                <w:sz w:val="22"/>
                <w:szCs w:val="22"/>
              </w:rPr>
              <w:t>wielootworowch</w:t>
            </w:r>
            <w:proofErr w:type="spellEnd"/>
            <w:r w:rsidRPr="00D464C6">
              <w:rPr>
                <w:rFonts w:cs="Arial"/>
                <w:color w:val="000000"/>
                <w:sz w:val="22"/>
                <w:szCs w:val="22"/>
              </w:rPr>
              <w:t xml:space="preserve"> prefabrykowanych żelbetowych wielootworowych o wymiarach 100x75x12,5 cm </w:t>
            </w:r>
            <w:r w:rsidRPr="00D464C6">
              <w:rPr>
                <w:rFonts w:cs="Arial"/>
                <w:sz w:val="22"/>
                <w:szCs w:val="22"/>
              </w:rPr>
              <w:t>- pas drogowy szer. 3 m lub powyżej  na podsypce piaskowej wraz z zamuleniem piaskiem, SST 10.03.01a</w:t>
            </w:r>
          </w:p>
        </w:tc>
        <w:tc>
          <w:tcPr>
            <w:tcW w:w="851" w:type="dxa"/>
            <w:vAlign w:val="center"/>
          </w:tcPr>
          <w:p w:rsidR="00B05E7A" w:rsidRDefault="00B05E7A" w:rsidP="00B05E7A">
            <w:r w:rsidRPr="00716EFA">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2304</w:t>
            </w:r>
          </w:p>
        </w:tc>
      </w:tr>
      <w:tr w:rsidR="00B05E7A" w:rsidRPr="00A06D92" w:rsidTr="00D464C6">
        <w:trPr>
          <w:trHeight w:val="301"/>
        </w:trPr>
        <w:tc>
          <w:tcPr>
            <w:tcW w:w="567" w:type="dxa"/>
            <w:shd w:val="clear" w:color="auto" w:fill="auto"/>
            <w:tcMar>
              <w:left w:w="57" w:type="dxa"/>
              <w:right w:w="57" w:type="dxa"/>
            </w:tcMar>
            <w:vAlign w:val="center"/>
          </w:tcPr>
          <w:p w:rsidR="00B05E7A" w:rsidRDefault="00B05E7A" w:rsidP="00B05E7A">
            <w:pPr>
              <w:spacing w:before="120" w:after="120"/>
              <w:rPr>
                <w:rFonts w:eastAsia="Calibri" w:cs="Arial"/>
                <w:lang w:eastAsia="en-US"/>
              </w:rPr>
            </w:pPr>
            <w:r>
              <w:rPr>
                <w:rFonts w:eastAsia="Calibri" w:cs="Arial"/>
                <w:lang w:eastAsia="en-US"/>
              </w:rPr>
              <w:t>11.</w:t>
            </w:r>
          </w:p>
        </w:tc>
        <w:tc>
          <w:tcPr>
            <w:tcW w:w="7938" w:type="dxa"/>
            <w:shd w:val="clear" w:color="auto" w:fill="auto"/>
            <w:tcMar>
              <w:left w:w="57" w:type="dxa"/>
              <w:right w:w="57" w:type="dxa"/>
            </w:tcMar>
            <w:vAlign w:val="bottom"/>
          </w:tcPr>
          <w:p w:rsidR="00B05E7A" w:rsidRPr="00D464C6" w:rsidRDefault="00B05E7A" w:rsidP="00D464C6">
            <w:pPr>
              <w:jc w:val="center"/>
              <w:rPr>
                <w:rFonts w:cs="Arial"/>
                <w:sz w:val="22"/>
                <w:szCs w:val="22"/>
              </w:rPr>
            </w:pPr>
            <w:r w:rsidRPr="00D464C6">
              <w:rPr>
                <w:rFonts w:cs="Arial"/>
                <w:sz w:val="22"/>
                <w:szCs w:val="22"/>
              </w:rPr>
              <w:t>Obsypanie płyt gruntem wraz zagęszczeniem wokół płyt - grunt z korytowania pod nawierzchnią płyt, SST 10.03.01a</w:t>
            </w:r>
          </w:p>
        </w:tc>
        <w:tc>
          <w:tcPr>
            <w:tcW w:w="851" w:type="dxa"/>
            <w:vAlign w:val="center"/>
          </w:tcPr>
          <w:p w:rsidR="00B05E7A" w:rsidRDefault="00B05E7A" w:rsidP="00B05E7A">
            <w:r>
              <w:rPr>
                <w:rFonts w:cs="Arial"/>
              </w:rPr>
              <w:t>m2</w:t>
            </w:r>
          </w:p>
        </w:tc>
        <w:tc>
          <w:tcPr>
            <w:tcW w:w="992" w:type="dxa"/>
            <w:shd w:val="clear" w:color="auto" w:fill="auto"/>
            <w:tcMar>
              <w:left w:w="28" w:type="dxa"/>
              <w:right w:w="28" w:type="dxa"/>
            </w:tcMar>
          </w:tcPr>
          <w:p w:rsidR="00B05E7A" w:rsidRDefault="00B05E7A" w:rsidP="00B05E7A">
            <w:pPr>
              <w:jc w:val="center"/>
              <w:rPr>
                <w:rFonts w:cs="Arial"/>
                <w:color w:val="000000"/>
              </w:rPr>
            </w:pPr>
          </w:p>
          <w:p w:rsidR="00B05E7A" w:rsidRPr="00C84B6F" w:rsidRDefault="00B05E7A" w:rsidP="00B05E7A">
            <w:pPr>
              <w:jc w:val="center"/>
              <w:rPr>
                <w:rFonts w:cs="Arial"/>
                <w:color w:val="000000"/>
              </w:rPr>
            </w:pPr>
            <w:r>
              <w:rPr>
                <w:rFonts w:cs="Arial"/>
                <w:color w:val="000000"/>
              </w:rPr>
              <w:t>1883</w:t>
            </w:r>
          </w:p>
        </w:tc>
      </w:tr>
    </w:tbl>
    <w:p w:rsidR="00B05E7A" w:rsidRPr="00B05E7A" w:rsidRDefault="00B05E7A" w:rsidP="00B05E7A">
      <w:pPr>
        <w:pStyle w:val="Akapitzlist"/>
        <w:numPr>
          <w:ilvl w:val="0"/>
          <w:numId w:val="1"/>
        </w:numPr>
        <w:spacing w:before="120" w:after="120"/>
        <w:ind w:left="284" w:hanging="426"/>
        <w:contextualSpacing w:val="0"/>
        <w:jc w:val="both"/>
        <w:rPr>
          <w:rFonts w:eastAsia="Calibri" w:cs="Arial"/>
          <w:lang w:eastAsia="en-US"/>
        </w:rPr>
      </w:pPr>
      <w:r w:rsidRPr="00B05E7A">
        <w:rPr>
          <w:rFonts w:eastAsia="Calibri" w:cs="Arial"/>
          <w:lang w:eastAsia="en-US"/>
        </w:rPr>
        <w:t>Minimalne parametry płyt</w:t>
      </w:r>
      <w:r w:rsidR="00D464C6">
        <w:rPr>
          <w:rFonts w:eastAsia="Calibri" w:cs="Arial"/>
          <w:lang w:eastAsia="en-US"/>
        </w:rPr>
        <w:t xml:space="preserve"> do wbudowania</w:t>
      </w:r>
      <w:r w:rsidRPr="00B05E7A">
        <w:rPr>
          <w:rFonts w:eastAsia="Calibri" w:cs="Arial"/>
          <w:lang w:eastAsia="en-US"/>
        </w:rPr>
        <w:t xml:space="preserve">: nowe, pochodzące z bieżącej produkcji, </w:t>
      </w:r>
      <w:r>
        <w:rPr>
          <w:rFonts w:eastAsia="Calibri" w:cs="Arial"/>
          <w:lang w:eastAsia="en-US"/>
        </w:rPr>
        <w:t xml:space="preserve">płyty prefabrykowane zbrojone wielootworowe o wymiarach min. 100x75x12,5 cm, wytrzymałość 30 </w:t>
      </w:r>
      <w:r>
        <w:t>KN, wykonane z betonu C25/30.</w:t>
      </w:r>
    </w:p>
    <w:p w:rsidR="00F232B9" w:rsidRPr="00A06D92" w:rsidRDefault="00F232B9" w:rsidP="00F232B9">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Roboty realizowane na podstanie niniejszego zamówienia nie wymagają pozwolenia na budowę. Zamawiający nie wymaga prowadzenia dziennika budowy. Uzyskanie wymaganych zgłoszeń budowlanych w celu realizacji robót jest obowiązkiem Zamawiającego i zostaną one przekazane Wykonawcy najpóźniej w dniu przekazania terenu budowy.</w:t>
      </w:r>
    </w:p>
    <w:p w:rsidR="00A06D92" w:rsidRDefault="00F232B9"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Lokalizacja dróg: teren gminy Stężyca, </w:t>
      </w:r>
      <w:r w:rsidR="00AA1C4E">
        <w:rPr>
          <w:rFonts w:eastAsia="Calibri" w:cs="Arial"/>
          <w:lang w:eastAsia="en-US"/>
        </w:rPr>
        <w:t xml:space="preserve">przewiduje się realizację robót w </w:t>
      </w:r>
      <w:r w:rsidR="00D464C6">
        <w:rPr>
          <w:rFonts w:eastAsia="Calibri" w:cs="Arial"/>
          <w:lang w:eastAsia="en-US"/>
        </w:rPr>
        <w:t>sześciu</w:t>
      </w:r>
      <w:r w:rsidR="00B05E7A">
        <w:rPr>
          <w:rFonts w:eastAsia="Calibri" w:cs="Arial"/>
          <w:lang w:eastAsia="en-US"/>
        </w:rPr>
        <w:t xml:space="preserve"> </w:t>
      </w:r>
      <w:r w:rsidR="00AA1C4E">
        <w:rPr>
          <w:rFonts w:eastAsia="Calibri" w:cs="Arial"/>
          <w:lang w:eastAsia="en-US"/>
        </w:rPr>
        <w:t xml:space="preserve">lokalizacjach, w miejscowościach: </w:t>
      </w:r>
      <w:r w:rsidRPr="00A06D92">
        <w:rPr>
          <w:rFonts w:eastAsia="Calibri" w:cs="Arial"/>
          <w:lang w:eastAsia="en-US"/>
        </w:rPr>
        <w:t xml:space="preserve">Gołubie, </w:t>
      </w:r>
      <w:r w:rsidR="00B05E7A">
        <w:rPr>
          <w:rFonts w:eastAsia="Calibri" w:cs="Arial"/>
          <w:lang w:eastAsia="en-US"/>
        </w:rPr>
        <w:t>Kamienica Szlachecka, Niesiołowice.</w:t>
      </w:r>
    </w:p>
    <w:p w:rsidR="00080384" w:rsidRPr="00A06D92" w:rsidRDefault="00401D98" w:rsidP="00A06D92">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Rozliczenie nastąpi w formie wynagrodzenia kosztorysowego. Kosztorys ofertowy należy złożyć wraz z ofertą – dla zachowania porównywalności ofert Zamawiający </w:t>
      </w:r>
      <w:r w:rsidRPr="00A06D92">
        <w:rPr>
          <w:rFonts w:eastAsia="Calibri" w:cs="Arial"/>
          <w:lang w:eastAsia="en-US"/>
        </w:rPr>
        <w:lastRenderedPageBreak/>
        <w:t>przygotował formularz oferty zawierający kosztorys ofertowy do uzupełnienia. Zasady obliczenia ce</w:t>
      </w:r>
      <w:r w:rsidR="004A1B39">
        <w:rPr>
          <w:rFonts w:eastAsia="Calibri" w:cs="Arial"/>
          <w:lang w:eastAsia="en-US"/>
        </w:rPr>
        <w:t xml:space="preserve">ny oferty określono w SWZ. Zasady </w:t>
      </w:r>
      <w:r w:rsidRPr="00A06D92">
        <w:rPr>
          <w:rFonts w:eastAsia="Calibri" w:cs="Arial"/>
          <w:lang w:eastAsia="en-US"/>
        </w:rPr>
        <w:t xml:space="preserve">rozliczenia wynagrodzenia zawarto </w:t>
      </w:r>
      <w:r w:rsidR="004A1B39">
        <w:rPr>
          <w:rFonts w:eastAsia="Calibri" w:cs="Arial"/>
          <w:lang w:eastAsia="en-US"/>
        </w:rPr>
        <w:t xml:space="preserve">                 </w:t>
      </w:r>
      <w:r w:rsidRPr="00A06D92">
        <w:rPr>
          <w:rFonts w:eastAsia="Calibri" w:cs="Arial"/>
          <w:lang w:eastAsia="en-US"/>
        </w:rPr>
        <w:t>w projekcie umowy.</w:t>
      </w:r>
      <w:r w:rsidR="00080384" w:rsidRPr="00A06D92">
        <w:rPr>
          <w:rFonts w:eastAsia="Calibri" w:cs="Arial"/>
          <w:lang w:eastAsia="en-US"/>
        </w:rPr>
        <w:t xml:space="preserve"> Uwaga: Wykonawca ma obowiązek złożyć z ofertą kosztorys ofertowy wg wzoru zamieszczonego w formularzu ofertowym. </w:t>
      </w:r>
      <w:r w:rsidR="00D464C6">
        <w:rPr>
          <w:rFonts w:eastAsia="Calibri" w:cs="Arial"/>
          <w:lang w:eastAsia="en-US"/>
        </w:rPr>
        <w:t xml:space="preserve">Ilości </w:t>
      </w:r>
      <w:r w:rsidR="00080384" w:rsidRPr="00A06D92">
        <w:rPr>
          <w:rFonts w:eastAsia="Calibri" w:cs="Arial"/>
          <w:lang w:eastAsia="en-US"/>
        </w:rPr>
        <w:t>robót do wyceny należy przyjąć zgodnie z przedmiarem robót (pkt. 1 OPZ).</w:t>
      </w:r>
    </w:p>
    <w:p w:rsidR="003B1458" w:rsidRPr="00A06D92" w:rsidRDefault="003B1458"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 ofercie należy podać cenę obliczoną na podstawie przedmiaru robót, obejmującą realizację robót na podstawie niniejszego opisu przedmiotu zamówienia, uwzględniając zapisy SWZ, warunki realizacji określone w projekcie umowy oraz w Specyfikacji Technicznej Wykonania i Odbioru Robót.</w:t>
      </w:r>
    </w:p>
    <w:p w:rsidR="003B1458" w:rsidRPr="00A06D92" w:rsidRDefault="002F04A6"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Szczegóły realizacji i rozliczeń zgodnie z projektem umowy. Z uwagi na możliwość zmiany potrzeb w trakcie realizacji umowy Zamawiający ma prawo do zmniejszenia zakresu realizacji umowy maksymalnie o </w:t>
      </w:r>
      <w:r w:rsidR="004A1B39">
        <w:rPr>
          <w:rFonts w:eastAsia="Calibri" w:cs="Arial"/>
          <w:lang w:eastAsia="en-US"/>
        </w:rPr>
        <w:t>3</w:t>
      </w:r>
      <w:r w:rsidRPr="00A06D92">
        <w:rPr>
          <w:rFonts w:eastAsia="Calibri" w:cs="Arial"/>
          <w:lang w:eastAsia="en-US"/>
        </w:rPr>
        <w:t>0 % oraz do zmiany poszczególnych ilości i kategorii robót. Wykonawcy nie przysługuje żadne roszczenie w stosunku do Zamawiającego w przypadku wystąpienia w/w okoliczności, w tym żądanie realizacji umowy do wysokości 100 % ceny umownej.</w:t>
      </w:r>
      <w:r w:rsidR="003B1458" w:rsidRPr="00A06D92">
        <w:rPr>
          <w:rFonts w:eastAsia="Calibri" w:cs="Arial"/>
          <w:lang w:eastAsia="en-US"/>
        </w:rPr>
        <w:t xml:space="preserve"> Zamawiający po podpisaniu umowy uzgodni z Wykonawcą harmonogram wykonania robót. </w:t>
      </w:r>
    </w:p>
    <w:p w:rsidR="00832490" w:rsidRPr="00A06D92" w:rsidRDefault="00154AAE"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Wszystkie materiały i urządzenia niezbędne do wykonania zadania dostarcza Wykonawca. Wszystkie materiały użyte do wykonania przedmiotu zamówienia muszą być nowe, po</w:t>
      </w:r>
      <w:r w:rsidR="00275607" w:rsidRPr="00A06D92">
        <w:rPr>
          <w:rFonts w:eastAsia="Calibri" w:cs="Arial"/>
          <w:lang w:eastAsia="en-US"/>
        </w:rPr>
        <w:t xml:space="preserve">chodzić z bieżącej produkcji i </w:t>
      </w:r>
      <w:r w:rsidRPr="00A06D92">
        <w:rPr>
          <w:rFonts w:eastAsia="Calibri" w:cs="Arial"/>
          <w:lang w:eastAsia="en-US"/>
        </w:rPr>
        <w:t xml:space="preserve">odpowiadać co do jakości wymogom wyrobów dopuszczonych do obrotu i stosowania w budownictwie, określonych w art. 10 ustawy Prawo budowlane oraz wymogom, jakie zostały określone w </w:t>
      </w:r>
      <w:proofErr w:type="spellStart"/>
      <w:r w:rsidRPr="00A06D92">
        <w:rPr>
          <w:rFonts w:eastAsia="Calibri" w:cs="Arial"/>
          <w:lang w:eastAsia="en-US"/>
        </w:rPr>
        <w:t>STWiOR</w:t>
      </w:r>
      <w:proofErr w:type="spellEnd"/>
      <w:r w:rsidRPr="00A06D92">
        <w:rPr>
          <w:rFonts w:eastAsia="Calibri" w:cs="Arial"/>
          <w:lang w:eastAsia="en-US"/>
        </w:rPr>
        <w:t>. Wykonawca zobowiązany będzie do okazania w stosunku do wskazanych materiałów: certyfikatów na znak bezpieczeństwa, deklaracji zgodności lub certyfikatu zgodności z Polską Normą przenoszącą europejskie normy zharmonizowane lub aprobatę techniczną.</w:t>
      </w:r>
    </w:p>
    <w:p w:rsidR="0013136A" w:rsidRPr="00A06D92" w:rsidRDefault="0013136A"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A06D92">
        <w:rPr>
          <w:rFonts w:cs="Arial"/>
        </w:rPr>
        <w:t>eriału niezgodnego z zapisami S</w:t>
      </w:r>
      <w:r w:rsidRPr="00A06D92">
        <w:rPr>
          <w:rFonts w:cs="Arial"/>
        </w:rPr>
        <w:t xml:space="preserve">WZ i załączników Wykonawca dokona wymiany </w:t>
      </w:r>
      <w:r w:rsidR="00937B76" w:rsidRPr="00A06D92">
        <w:rPr>
          <w:rFonts w:cs="Arial"/>
        </w:rPr>
        <w:t>materiału na zgod</w:t>
      </w:r>
      <w:r w:rsidR="003B1458" w:rsidRPr="00A06D92">
        <w:rPr>
          <w:rFonts w:cs="Arial"/>
        </w:rPr>
        <w:t>n</w:t>
      </w:r>
      <w:r w:rsidR="00937B76" w:rsidRPr="00A06D92">
        <w:rPr>
          <w:rFonts w:cs="Arial"/>
        </w:rPr>
        <w:t>y z wymogami S</w:t>
      </w:r>
      <w:r w:rsidRPr="00A06D92">
        <w:rPr>
          <w:rFonts w:cs="Arial"/>
        </w:rPr>
        <w:t xml:space="preserve">WZ, dokona zwrotu kosztu badania oraz wykona ponowne badanie na swój koszt. </w:t>
      </w:r>
    </w:p>
    <w:p w:rsidR="003065F0" w:rsidRPr="00A06D92" w:rsidRDefault="003065F0"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dołożył należytej staranności, aby w opisie przedmiotu zamówienia </w:t>
      </w:r>
      <w:r w:rsidR="00A57C84">
        <w:rPr>
          <w:rFonts w:eastAsia="Calibri" w:cs="Arial"/>
          <w:lang w:eastAsia="en-US"/>
        </w:rPr>
        <w:t xml:space="preserve">                   </w:t>
      </w:r>
      <w:r w:rsidRPr="00A06D92">
        <w:rPr>
          <w:rFonts w:eastAsia="Calibri" w:cs="Arial"/>
          <w:lang w:eastAsia="en-US"/>
        </w:rPr>
        <w:t xml:space="preserve">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w:t>
      </w:r>
      <w:proofErr w:type="spellStart"/>
      <w:r w:rsidRPr="00A06D92">
        <w:rPr>
          <w:rFonts w:eastAsia="Calibri" w:cs="Arial"/>
          <w:lang w:eastAsia="en-US"/>
        </w:rPr>
        <w:t>STWiOR</w:t>
      </w:r>
      <w:proofErr w:type="spellEnd"/>
      <w:r w:rsidRPr="00A06D92">
        <w:rPr>
          <w:rFonts w:eastAsia="Calibri" w:cs="Arial"/>
          <w:lang w:eastAsia="en-US"/>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w:t>
      </w:r>
      <w:r w:rsidRPr="00A06D92">
        <w:rPr>
          <w:rFonts w:eastAsia="Calibri" w:cs="Arial"/>
          <w:lang w:eastAsia="en-US"/>
        </w:rPr>
        <w:lastRenderedPageBreak/>
        <w:t xml:space="preserve">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A06D92">
        <w:rPr>
          <w:rFonts w:eastAsia="Calibri" w:cs="Arial"/>
          <w:lang w:eastAsia="en-US"/>
        </w:rPr>
        <w:t>założone</w:t>
      </w:r>
      <w:r w:rsidRPr="00A06D92">
        <w:rPr>
          <w:rFonts w:eastAsia="Calibri" w:cs="Arial"/>
          <w:lang w:eastAsia="en-US"/>
        </w:rPr>
        <w:t xml:space="preserve"> przez Zamawiającego. </w:t>
      </w:r>
    </w:p>
    <w:p w:rsidR="003065F0" w:rsidRPr="00A06D92" w:rsidRDefault="00D21063"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Termin realizacji</w:t>
      </w:r>
      <w:r w:rsidR="003065F0" w:rsidRPr="00A06D92">
        <w:rPr>
          <w:rFonts w:eastAsia="Calibri" w:cs="Arial"/>
          <w:lang w:eastAsia="en-US"/>
        </w:rPr>
        <w:t xml:space="preserve">: do </w:t>
      </w:r>
      <w:r w:rsidR="00A06D92">
        <w:rPr>
          <w:rFonts w:eastAsia="Calibri" w:cs="Arial"/>
          <w:lang w:eastAsia="en-US"/>
        </w:rPr>
        <w:t>6</w:t>
      </w:r>
      <w:r w:rsidR="008A0806" w:rsidRPr="00A06D92">
        <w:rPr>
          <w:rFonts w:eastAsia="Calibri" w:cs="Arial"/>
          <w:lang w:eastAsia="en-US"/>
        </w:rPr>
        <w:t xml:space="preserve"> miesięcy od daty zawarcia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Najpóźniej na dzień zgłoszenia gotowości do odbioru końcowego Wykonawca ma obowiązek przekazać Zamawiającemu dokumentację powykonawczą. Minimalny zakres dokumentacji powykonawczej określa projekt umowy.</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Zamawiający nie przewiduje żadnych przedpłat ani zaliczek na poczet realizacji przedmiotu umowy, a płatność nastąpi zgodnie z zapisami projektu umowy załączonego do SWZ.</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Organizacja, zagospodarowanie, zabezpieczenie, utrzymanie i likwidacja placu budowy jest po stronie Wykonawcy.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A06D92">
        <w:rPr>
          <w:rFonts w:cs="Arial"/>
        </w:rPr>
        <w:t>tj</w:t>
      </w:r>
      <w:proofErr w:type="spellEnd"/>
      <w:r w:rsidRPr="00A06D92">
        <w:rPr>
          <w:rFonts w:cs="Arial"/>
        </w:rPr>
        <w:t xml:space="preserve"> Dz. U. z 202</w:t>
      </w:r>
      <w:r w:rsidR="00B54FD9">
        <w:rPr>
          <w:rFonts w:cs="Arial"/>
        </w:rPr>
        <w:t>2</w:t>
      </w:r>
      <w:r w:rsidRPr="00A06D92">
        <w:rPr>
          <w:rFonts w:cs="Arial"/>
        </w:rPr>
        <w:t xml:space="preserve"> r. poz. 1</w:t>
      </w:r>
      <w:r w:rsidR="00B54FD9">
        <w:rPr>
          <w:rFonts w:cs="Arial"/>
        </w:rPr>
        <w:t>510</w:t>
      </w:r>
      <w:r w:rsidRPr="00A06D92">
        <w:rPr>
          <w:rFonts w:cs="Arial"/>
        </w:rPr>
        <w:t xml:space="preserve"> z zm.). Przez nawiązanie stosunku pracy pracownik zobowiązuje się do wykonywania pracy określonego rodzaju na rzecz pracodawcy i pod jego kierownictwem oraz w miejscu wyznaczonym przez pracodawcę, a pracodawca – do zatrudnienia pracownika za wynagrodzeniem. </w:t>
      </w:r>
    </w:p>
    <w:p w:rsidR="00E31EFD" w:rsidRPr="00A06D92" w:rsidRDefault="00E31EFD" w:rsidP="009741D0">
      <w:pPr>
        <w:spacing w:before="120" w:after="120"/>
        <w:ind w:left="284"/>
        <w:jc w:val="both"/>
        <w:rPr>
          <w:rFonts w:cs="Arial"/>
        </w:rPr>
      </w:pPr>
      <w:r w:rsidRPr="00A06D92">
        <w:rPr>
          <w:rFonts w:cs="Arial"/>
        </w:rPr>
        <w:t xml:space="preserve">Zamawiający określa następujące czynności wymagające zatrudnienia na podstawie umowy o pracę: </w:t>
      </w:r>
      <w:r w:rsidRPr="00A06D92">
        <w:rPr>
          <w:rFonts w:eastAsia="Calibri" w:cs="Arial"/>
          <w:lang w:eastAsia="en-US"/>
        </w:rPr>
        <w:t>wykonanie robót ziemnych, konstrukcji, wykonanie nawierzchni, roboty porządkowe, dozór placu budowy.</w:t>
      </w:r>
      <w:r w:rsidRPr="00A06D92">
        <w:rPr>
          <w:rFonts w:cs="Arial"/>
        </w:rPr>
        <w:t xml:space="preserve"> Obowiązek zatrudniania ww. osób na podstawie umowy o pracę obejmuje zarówno Wykonawcę jak i Podwykonawców. Wykonawca obowiązany będzie na każde żądanie Zamawiającego przedstawić dokumenty dotyczące umowy o pracę. Szczegółowe wymagania dotyczące realizacji oraz egzekwowania wymogu zatrudnienia na podstawie stosunku pracy zostały określone w projekcie umowy stanowiącym załącznik do SWZ. </w:t>
      </w:r>
    </w:p>
    <w:p w:rsidR="00E31EFD"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cs="Arial"/>
        </w:rPr>
        <w:t>Zamawiający nie określa dodatkowych wymagań związanych z zatrudnianiem osób, o który</w:t>
      </w:r>
      <w:r w:rsidR="00A06D92">
        <w:rPr>
          <w:rFonts w:cs="Arial"/>
        </w:rPr>
        <w:t xml:space="preserve">ch mowa w art. 96 ust. 2 pkt 2 </w:t>
      </w:r>
      <w:proofErr w:type="spellStart"/>
      <w:r w:rsidR="00A06D92">
        <w:rPr>
          <w:rFonts w:cs="Arial"/>
        </w:rPr>
        <w:t>Pzp</w:t>
      </w:r>
      <w:proofErr w:type="spellEnd"/>
      <w:r w:rsidRPr="00A06D92">
        <w:rPr>
          <w:rFonts w:cs="Arial"/>
        </w:rPr>
        <w:t xml:space="preserve">. </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Z</w:t>
      </w:r>
      <w:r w:rsidRPr="00A06D92">
        <w:rPr>
          <w:rFonts w:cs="Arial"/>
        </w:rPr>
        <w:t>adanie realizowane w ramach zamówienia publicznego przeznaczone jest do użytku osób fizycznych i winno być realizowane z przeznaczeniem dla wszystkich użytkowników, w tym w zakresie dostępności dla osób niepełnosprawnych.</w:t>
      </w:r>
      <w:r w:rsidRPr="00A06D92">
        <w:rPr>
          <w:rFonts w:eastAsia="Calibri" w:cs="Arial"/>
          <w:lang w:eastAsia="en-US"/>
        </w:rPr>
        <w:t xml:space="preserve"> Wybudowany obiekt będzie dostępny dla osób niepełnosprawnych oraz dzieci.</w:t>
      </w:r>
    </w:p>
    <w:p w:rsidR="005F5A3E" w:rsidRPr="00A06D92"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Zamawiający ma nieograniczone prawo </w:t>
      </w:r>
      <w:r w:rsidRPr="00A06D92">
        <w:rPr>
          <w:rFonts w:cs="Arial"/>
        </w:rPr>
        <w:t xml:space="preserve">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materiału niezgodnego z zapisami SWZ i załączników Wykonawca dokona wymiany materiału na zgody z wymogami SWZ, dokona zwrotu kosztu badania oraz wykona ponowne badanie na swój koszt. </w:t>
      </w:r>
    </w:p>
    <w:p w:rsidR="00D464C6" w:rsidRPr="00D464C6" w:rsidRDefault="00E31EFD" w:rsidP="00D464C6">
      <w:pPr>
        <w:numPr>
          <w:ilvl w:val="0"/>
          <w:numId w:val="1"/>
        </w:numPr>
        <w:autoSpaceDE w:val="0"/>
        <w:autoSpaceDN w:val="0"/>
        <w:adjustRightInd w:val="0"/>
        <w:spacing w:before="120" w:after="120"/>
        <w:ind w:left="284" w:hanging="426"/>
        <w:jc w:val="both"/>
        <w:rPr>
          <w:rFonts w:eastAsia="Calibri" w:cs="Arial"/>
          <w:lang w:eastAsia="en-US"/>
        </w:rPr>
      </w:pPr>
      <w:r w:rsidRPr="00A06D92">
        <w:rPr>
          <w:rFonts w:eastAsia="Calibri" w:cs="Arial"/>
          <w:lang w:eastAsia="en-US"/>
        </w:rPr>
        <w:t>Wykonanie przebudowy niezinwentaryzowanej lub błędnie zinwentaryzowanych sieci nie obciążają Wykonawcy.</w:t>
      </w:r>
    </w:p>
    <w:sectPr w:rsidR="00D464C6" w:rsidRPr="00D464C6" w:rsidSect="00275607">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63" w:rsidRDefault="00835C63">
      <w:r>
        <w:separator/>
      </w:r>
    </w:p>
  </w:endnote>
  <w:endnote w:type="continuationSeparator" w:id="0">
    <w:p w:rsidR="00835C63" w:rsidRDefault="0083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22" w:rsidRDefault="00D3632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390EAF" w:rsidRPr="00390EAF">
          <w:rPr>
            <w:rFonts w:asciiTheme="minorHAnsi" w:eastAsiaTheme="majorEastAsia" w:hAnsiTheme="minorHAnsi" w:cstheme="minorHAnsi"/>
            <w:noProof/>
            <w:sz w:val="18"/>
            <w:szCs w:val="22"/>
          </w:rPr>
          <w:t>3</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rFonts w:ascii="Arial" w:hAnsi="Arial" w:cs="Arial"/>
        <w:sz w:val="24"/>
        <w:szCs w:val="24"/>
      </w:rPr>
    </w:sdtEndPr>
    <w:sdtContent>
      <w:p w:rsidR="00AA0456" w:rsidRPr="00A06D92" w:rsidRDefault="00AA0456">
        <w:pPr>
          <w:pStyle w:val="Stopka"/>
          <w:rPr>
            <w:rFonts w:cs="Arial"/>
          </w:rPr>
        </w:pPr>
        <w:r w:rsidRPr="00A06D92">
          <w:rPr>
            <w:rFonts w:eastAsiaTheme="majorEastAsia" w:cs="Arial"/>
          </w:rPr>
          <w:t xml:space="preserve">str. </w:t>
        </w:r>
        <w:r w:rsidRPr="00A06D92">
          <w:rPr>
            <w:rFonts w:eastAsiaTheme="minorEastAsia" w:cs="Arial"/>
          </w:rPr>
          <w:fldChar w:fldCharType="begin"/>
        </w:r>
        <w:r w:rsidRPr="00A06D92">
          <w:rPr>
            <w:rFonts w:cs="Arial"/>
          </w:rPr>
          <w:instrText>PAGE    \* MERGEFORMAT</w:instrText>
        </w:r>
        <w:r w:rsidRPr="00A06D92">
          <w:rPr>
            <w:rFonts w:eastAsiaTheme="minorEastAsia" w:cs="Arial"/>
          </w:rPr>
          <w:fldChar w:fldCharType="separate"/>
        </w:r>
        <w:r w:rsidR="00390EAF" w:rsidRPr="00390EAF">
          <w:rPr>
            <w:rFonts w:eastAsiaTheme="majorEastAsia" w:cs="Arial"/>
            <w:noProof/>
          </w:rPr>
          <w:t>1</w:t>
        </w:r>
        <w:r w:rsidRPr="00A06D92">
          <w:rPr>
            <w:rFonts w:eastAsiaTheme="majorEastAsia"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63" w:rsidRDefault="00835C63">
      <w:r>
        <w:separator/>
      </w:r>
    </w:p>
  </w:footnote>
  <w:footnote w:type="continuationSeparator" w:id="0">
    <w:p w:rsidR="00835C63" w:rsidRDefault="00835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090ADA"/>
    <w:multiLevelType w:val="hybridMultilevel"/>
    <w:tmpl w:val="C1F21CC0"/>
    <w:lvl w:ilvl="0" w:tplc="57A00B16">
      <w:start w:val="600"/>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2">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BC5995"/>
    <w:multiLevelType w:val="multilevel"/>
    <w:tmpl w:val="E55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B0014A1"/>
    <w:multiLevelType w:val="multilevel"/>
    <w:tmpl w:val="18EA5188"/>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573845EA"/>
    <w:multiLevelType w:val="multilevel"/>
    <w:tmpl w:val="BE84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18">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BAD6DED"/>
    <w:multiLevelType w:val="multilevel"/>
    <w:tmpl w:val="D2A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8"/>
  </w:num>
  <w:num w:numId="2">
    <w:abstractNumId w:val="9"/>
  </w:num>
  <w:num w:numId="3">
    <w:abstractNumId w:val="0"/>
  </w:num>
  <w:num w:numId="4">
    <w:abstractNumId w:val="19"/>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3"/>
  </w:num>
  <w:num w:numId="10">
    <w:abstractNumId w:val="7"/>
  </w:num>
  <w:num w:numId="11">
    <w:abstractNumId w:val="15"/>
  </w:num>
  <w:num w:numId="12">
    <w:abstractNumId w:val="22"/>
  </w:num>
  <w:num w:numId="13">
    <w:abstractNumId w:val="12"/>
  </w:num>
  <w:num w:numId="14">
    <w:abstractNumId w:val="11"/>
  </w:num>
  <w:num w:numId="15">
    <w:abstractNumId w:val="18"/>
  </w:num>
  <w:num w:numId="16">
    <w:abstractNumId w:val="10"/>
  </w:num>
  <w:num w:numId="17">
    <w:abstractNumId w:val="4"/>
  </w:num>
  <w:num w:numId="18">
    <w:abstractNumId w:val="2"/>
  </w:num>
  <w:num w:numId="19">
    <w:abstractNumId w:val="3"/>
  </w:num>
  <w:num w:numId="20">
    <w:abstractNumId w:val="17"/>
  </w:num>
  <w:num w:numId="21">
    <w:abstractNumId w:val="1"/>
  </w:num>
  <w:num w:numId="22">
    <w:abstractNumId w:val="21"/>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0A"/>
    <w:rsid w:val="000060E1"/>
    <w:rsid w:val="00027897"/>
    <w:rsid w:val="00040D02"/>
    <w:rsid w:val="00061F20"/>
    <w:rsid w:val="00080384"/>
    <w:rsid w:val="0008086A"/>
    <w:rsid w:val="00080D83"/>
    <w:rsid w:val="0009778E"/>
    <w:rsid w:val="000A251B"/>
    <w:rsid w:val="000A6B55"/>
    <w:rsid w:val="000C6A64"/>
    <w:rsid w:val="000C6BC9"/>
    <w:rsid w:val="000D283E"/>
    <w:rsid w:val="000F7C32"/>
    <w:rsid w:val="00100099"/>
    <w:rsid w:val="0010193C"/>
    <w:rsid w:val="00111060"/>
    <w:rsid w:val="00112552"/>
    <w:rsid w:val="00124D4A"/>
    <w:rsid w:val="001304E7"/>
    <w:rsid w:val="00130B23"/>
    <w:rsid w:val="0013136A"/>
    <w:rsid w:val="00136E57"/>
    <w:rsid w:val="00154AAE"/>
    <w:rsid w:val="001935C0"/>
    <w:rsid w:val="00194E77"/>
    <w:rsid w:val="001A7310"/>
    <w:rsid w:val="001B210F"/>
    <w:rsid w:val="001E58DA"/>
    <w:rsid w:val="001F3B22"/>
    <w:rsid w:val="0021566E"/>
    <w:rsid w:val="00224B8E"/>
    <w:rsid w:val="00231E8C"/>
    <w:rsid w:val="00241C1F"/>
    <w:rsid w:val="002425AE"/>
    <w:rsid w:val="00264A31"/>
    <w:rsid w:val="00275607"/>
    <w:rsid w:val="002901B8"/>
    <w:rsid w:val="00290974"/>
    <w:rsid w:val="002B6219"/>
    <w:rsid w:val="002C6347"/>
    <w:rsid w:val="002E3F2F"/>
    <w:rsid w:val="002F04A6"/>
    <w:rsid w:val="002F0B35"/>
    <w:rsid w:val="002F3A7F"/>
    <w:rsid w:val="003065F0"/>
    <w:rsid w:val="003074FE"/>
    <w:rsid w:val="00311F30"/>
    <w:rsid w:val="00315901"/>
    <w:rsid w:val="00320AAC"/>
    <w:rsid w:val="00323924"/>
    <w:rsid w:val="00323E6D"/>
    <w:rsid w:val="00325198"/>
    <w:rsid w:val="00353BD2"/>
    <w:rsid w:val="0035482A"/>
    <w:rsid w:val="003619F2"/>
    <w:rsid w:val="00365820"/>
    <w:rsid w:val="0037383E"/>
    <w:rsid w:val="00384F62"/>
    <w:rsid w:val="00390EAF"/>
    <w:rsid w:val="003A228D"/>
    <w:rsid w:val="003B1458"/>
    <w:rsid w:val="003B4FFD"/>
    <w:rsid w:val="003C554F"/>
    <w:rsid w:val="003E70C0"/>
    <w:rsid w:val="003E747A"/>
    <w:rsid w:val="003F2F8D"/>
    <w:rsid w:val="0040149C"/>
    <w:rsid w:val="00401D98"/>
    <w:rsid w:val="00414478"/>
    <w:rsid w:val="00492BD3"/>
    <w:rsid w:val="004A1B39"/>
    <w:rsid w:val="004B70BD"/>
    <w:rsid w:val="004E691F"/>
    <w:rsid w:val="004F4355"/>
    <w:rsid w:val="004F772B"/>
    <w:rsid w:val="00512A08"/>
    <w:rsid w:val="0052111D"/>
    <w:rsid w:val="005315F3"/>
    <w:rsid w:val="00544C2A"/>
    <w:rsid w:val="00564150"/>
    <w:rsid w:val="005671F6"/>
    <w:rsid w:val="00572C55"/>
    <w:rsid w:val="005760A9"/>
    <w:rsid w:val="005761AF"/>
    <w:rsid w:val="00583461"/>
    <w:rsid w:val="00594257"/>
    <w:rsid w:val="00594464"/>
    <w:rsid w:val="005F24FA"/>
    <w:rsid w:val="005F5A3E"/>
    <w:rsid w:val="00622781"/>
    <w:rsid w:val="00640BFF"/>
    <w:rsid w:val="00654794"/>
    <w:rsid w:val="006552BB"/>
    <w:rsid w:val="006703E3"/>
    <w:rsid w:val="006802DA"/>
    <w:rsid w:val="0069621B"/>
    <w:rsid w:val="00697462"/>
    <w:rsid w:val="006A0908"/>
    <w:rsid w:val="006B4267"/>
    <w:rsid w:val="006B58ED"/>
    <w:rsid w:val="006D0D86"/>
    <w:rsid w:val="006F209E"/>
    <w:rsid w:val="00702613"/>
    <w:rsid w:val="007178FC"/>
    <w:rsid w:val="0072214C"/>
    <w:rsid w:val="00727F94"/>
    <w:rsid w:val="007337EB"/>
    <w:rsid w:val="007376D6"/>
    <w:rsid w:val="00745D18"/>
    <w:rsid w:val="00776530"/>
    <w:rsid w:val="00790525"/>
    <w:rsid w:val="00791E8E"/>
    <w:rsid w:val="007A0109"/>
    <w:rsid w:val="007A7220"/>
    <w:rsid w:val="007B2500"/>
    <w:rsid w:val="007D61D6"/>
    <w:rsid w:val="007D7E19"/>
    <w:rsid w:val="007E1B19"/>
    <w:rsid w:val="007F3623"/>
    <w:rsid w:val="00805108"/>
    <w:rsid w:val="0080776A"/>
    <w:rsid w:val="00810E0D"/>
    <w:rsid w:val="00817C9A"/>
    <w:rsid w:val="00822EC1"/>
    <w:rsid w:val="00826193"/>
    <w:rsid w:val="00827311"/>
    <w:rsid w:val="008276AF"/>
    <w:rsid w:val="00832490"/>
    <w:rsid w:val="00834BB4"/>
    <w:rsid w:val="00835187"/>
    <w:rsid w:val="00835C63"/>
    <w:rsid w:val="00841CD0"/>
    <w:rsid w:val="008459D3"/>
    <w:rsid w:val="00873501"/>
    <w:rsid w:val="00876326"/>
    <w:rsid w:val="008945D9"/>
    <w:rsid w:val="008A0806"/>
    <w:rsid w:val="008C2ABB"/>
    <w:rsid w:val="00914053"/>
    <w:rsid w:val="00924D4E"/>
    <w:rsid w:val="00926961"/>
    <w:rsid w:val="00927771"/>
    <w:rsid w:val="009376E2"/>
    <w:rsid w:val="00937B76"/>
    <w:rsid w:val="00937DDA"/>
    <w:rsid w:val="00943B6F"/>
    <w:rsid w:val="009741D0"/>
    <w:rsid w:val="00991D46"/>
    <w:rsid w:val="00997A56"/>
    <w:rsid w:val="009A54E8"/>
    <w:rsid w:val="009B1122"/>
    <w:rsid w:val="009B4C3B"/>
    <w:rsid w:val="009C4147"/>
    <w:rsid w:val="009C73C9"/>
    <w:rsid w:val="009D71C1"/>
    <w:rsid w:val="009F2CF0"/>
    <w:rsid w:val="00A04690"/>
    <w:rsid w:val="00A06D92"/>
    <w:rsid w:val="00A204B6"/>
    <w:rsid w:val="00A210DA"/>
    <w:rsid w:val="00A24D24"/>
    <w:rsid w:val="00A40DD3"/>
    <w:rsid w:val="00A43CE7"/>
    <w:rsid w:val="00A5408A"/>
    <w:rsid w:val="00A57C84"/>
    <w:rsid w:val="00A674CE"/>
    <w:rsid w:val="00A7495A"/>
    <w:rsid w:val="00A8311B"/>
    <w:rsid w:val="00A94000"/>
    <w:rsid w:val="00AA0456"/>
    <w:rsid w:val="00AA1C4E"/>
    <w:rsid w:val="00AB42FF"/>
    <w:rsid w:val="00AC14EE"/>
    <w:rsid w:val="00AD1EFE"/>
    <w:rsid w:val="00AE1EAA"/>
    <w:rsid w:val="00AE54D9"/>
    <w:rsid w:val="00B01F08"/>
    <w:rsid w:val="00B05129"/>
    <w:rsid w:val="00B05E7A"/>
    <w:rsid w:val="00B16E8F"/>
    <w:rsid w:val="00B21F66"/>
    <w:rsid w:val="00B2347B"/>
    <w:rsid w:val="00B30401"/>
    <w:rsid w:val="00B423D2"/>
    <w:rsid w:val="00B54FD9"/>
    <w:rsid w:val="00B601F4"/>
    <w:rsid w:val="00B6637D"/>
    <w:rsid w:val="00B9272A"/>
    <w:rsid w:val="00B9316E"/>
    <w:rsid w:val="00B935A1"/>
    <w:rsid w:val="00BA4A3E"/>
    <w:rsid w:val="00BA759D"/>
    <w:rsid w:val="00BB2723"/>
    <w:rsid w:val="00BB76D0"/>
    <w:rsid w:val="00BC363C"/>
    <w:rsid w:val="00BD24D0"/>
    <w:rsid w:val="00C5135C"/>
    <w:rsid w:val="00C62C24"/>
    <w:rsid w:val="00C635B6"/>
    <w:rsid w:val="00C70F8A"/>
    <w:rsid w:val="00C91F0A"/>
    <w:rsid w:val="00CA5CBD"/>
    <w:rsid w:val="00CC3E9C"/>
    <w:rsid w:val="00CC5082"/>
    <w:rsid w:val="00CE005B"/>
    <w:rsid w:val="00D0361A"/>
    <w:rsid w:val="00D11865"/>
    <w:rsid w:val="00D21063"/>
    <w:rsid w:val="00D231E7"/>
    <w:rsid w:val="00D30ADD"/>
    <w:rsid w:val="00D3632A"/>
    <w:rsid w:val="00D37969"/>
    <w:rsid w:val="00D43A0D"/>
    <w:rsid w:val="00D464C6"/>
    <w:rsid w:val="00D46867"/>
    <w:rsid w:val="00D526F3"/>
    <w:rsid w:val="00D62840"/>
    <w:rsid w:val="00DA2034"/>
    <w:rsid w:val="00DC5EF8"/>
    <w:rsid w:val="00DC733E"/>
    <w:rsid w:val="00DE7F90"/>
    <w:rsid w:val="00DF57BE"/>
    <w:rsid w:val="00E06500"/>
    <w:rsid w:val="00E120F7"/>
    <w:rsid w:val="00E31EFD"/>
    <w:rsid w:val="00E429C7"/>
    <w:rsid w:val="00E57060"/>
    <w:rsid w:val="00E7011A"/>
    <w:rsid w:val="00E8149D"/>
    <w:rsid w:val="00E87616"/>
    <w:rsid w:val="00EA5C16"/>
    <w:rsid w:val="00EF000D"/>
    <w:rsid w:val="00F109E3"/>
    <w:rsid w:val="00F147F0"/>
    <w:rsid w:val="00F232B9"/>
    <w:rsid w:val="00F46365"/>
    <w:rsid w:val="00F545A3"/>
    <w:rsid w:val="00F93C91"/>
    <w:rsid w:val="00FB5706"/>
    <w:rsid w:val="00FE4641"/>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semiHidden/>
    <w:unhideWhenUsed/>
    <w:qFormat/>
    <w:rsid w:val="00B05E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semiHidden/>
    <w:rsid w:val="00B05E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paragraph" w:styleId="Nagwek2">
    <w:name w:val="heading 2"/>
    <w:basedOn w:val="Normalny"/>
    <w:next w:val="Normalny"/>
    <w:link w:val="Nagwek2Znak"/>
    <w:semiHidden/>
    <w:unhideWhenUsed/>
    <w:qFormat/>
    <w:rsid w:val="00B05E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character" w:customStyle="1" w:styleId="Nagwek2Znak">
    <w:name w:val="Nagłówek 2 Znak"/>
    <w:basedOn w:val="Domylnaczcionkaakapitu"/>
    <w:link w:val="Nagwek2"/>
    <w:semiHidden/>
    <w:rsid w:val="00B05E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 w:id="20937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633DE-EF74-4F29-9717-4DF42F07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94</TotalTime>
  <Pages>3</Pages>
  <Words>1407</Words>
  <Characters>8445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11</cp:revision>
  <cp:lastPrinted>2023-05-31T07:32:00Z</cp:lastPrinted>
  <dcterms:created xsi:type="dcterms:W3CDTF">2023-05-26T11:55:00Z</dcterms:created>
  <dcterms:modified xsi:type="dcterms:W3CDTF">2023-06-01T07:34:00Z</dcterms:modified>
</cp:coreProperties>
</file>