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8C3FE7" w:rsidRPr="00566504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  <w:sz w:val="18"/>
          <w:szCs w:val="18"/>
        </w:rPr>
      </w:r>
      <w:r w:rsidR="00B37D3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  <w:sz w:val="18"/>
          <w:szCs w:val="18"/>
        </w:rPr>
      </w:r>
      <w:r w:rsidR="00B37D3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  <w:sz w:val="18"/>
          <w:szCs w:val="18"/>
        </w:rPr>
      </w:r>
      <w:r w:rsidR="00B37D3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bookmarkStart w:id="0" w:name="_GoBack"/>
      <w:bookmarkEnd w:id="0"/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B37D38">
        <w:rPr>
          <w:rFonts w:asciiTheme="minorHAnsi" w:eastAsia="Arial Unicode MS" w:hAnsiTheme="minorHAnsi" w:cs="Arial"/>
          <w:b/>
        </w:rPr>
      </w:r>
      <w:r w:rsidR="00B37D3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B37D38">
        <w:rPr>
          <w:rFonts w:cs="Arial"/>
          <w:b/>
          <w:bCs/>
        </w:rPr>
      </w:r>
      <w:r w:rsidR="00B37D3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B37D38">
        <w:rPr>
          <w:rFonts w:cs="Arial"/>
          <w:b/>
          <w:bCs/>
        </w:rPr>
      </w:r>
      <w:r w:rsidR="00B37D3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38" w:rsidRDefault="00B37D38" w:rsidP="002B2DEB">
      <w:pPr>
        <w:spacing w:after="0" w:line="240" w:lineRule="auto"/>
      </w:pPr>
      <w:r>
        <w:separator/>
      </w:r>
    </w:p>
  </w:endnote>
  <w:endnote w:type="continuationSeparator" w:id="0">
    <w:p w:rsidR="00B37D38" w:rsidRDefault="00B37D3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8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38" w:rsidRDefault="00B37D38" w:rsidP="002B2DEB">
      <w:pPr>
        <w:spacing w:after="0" w:line="240" w:lineRule="auto"/>
      </w:pPr>
      <w:r>
        <w:separator/>
      </w:r>
    </w:p>
  </w:footnote>
  <w:footnote w:type="continuationSeparator" w:id="0">
    <w:p w:rsidR="00B37D38" w:rsidRDefault="00B37D38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101033">
      <w:rPr>
        <w:rFonts w:eastAsia="Times New Roman" w:cs="Times New Roman"/>
        <w:b/>
      </w:rPr>
      <w:t>6</w:t>
    </w:r>
    <w:r w:rsidR="00627416">
      <w:rPr>
        <w:rFonts w:cs="Times New Roman"/>
        <w:b/>
      </w:rPr>
      <w:t>.202</w:t>
    </w:r>
    <w:r w:rsidR="00400FE0">
      <w:rPr>
        <w:rFonts w:cs="Times New Roman"/>
        <w:b/>
      </w:rPr>
      <w:t>3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840A9F" w:rsidRPr="00840A9F">
      <w:rPr>
        <w:rFonts w:asciiTheme="minorHAnsi" w:hAnsiTheme="minorHAnsi"/>
        <w:b/>
        <w:i w:val="0"/>
        <w:sz w:val="22"/>
        <w:szCs w:val="22"/>
      </w:rPr>
      <w:t>Budowa lokalnej oczy</w:t>
    </w:r>
    <w:r w:rsidR="00840A9F">
      <w:rPr>
        <w:rFonts w:asciiTheme="minorHAnsi" w:hAnsiTheme="minorHAnsi"/>
        <w:b/>
        <w:i w:val="0"/>
        <w:sz w:val="22"/>
        <w:szCs w:val="22"/>
      </w:rPr>
      <w:t>szczalni ścieków w Sadlnie wraz </w:t>
    </w:r>
    <w:r w:rsidR="00840A9F" w:rsidRPr="00840A9F">
      <w:rPr>
        <w:rFonts w:asciiTheme="minorHAnsi" w:hAnsiTheme="minorHAnsi"/>
        <w:b/>
        <w:i w:val="0"/>
        <w:sz w:val="22"/>
        <w:szCs w:val="22"/>
      </w:rPr>
      <w:t>z budową sieci kanalizacji sanitarnej wraz z przyłączami w Gminie Trzebiatów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B37D38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A3B5D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E321C"/>
    <w:rsid w:val="0090252E"/>
    <w:rsid w:val="009058DC"/>
    <w:rsid w:val="00906B0E"/>
    <w:rsid w:val="009268AF"/>
    <w:rsid w:val="00944F09"/>
    <w:rsid w:val="009667B8"/>
    <w:rsid w:val="00973E5F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8D88-61D8-41B5-8E22-73A01E98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94</cp:revision>
  <cp:lastPrinted>2021-12-08T07:40:00Z</cp:lastPrinted>
  <dcterms:created xsi:type="dcterms:W3CDTF">2021-01-14T12:10:00Z</dcterms:created>
  <dcterms:modified xsi:type="dcterms:W3CDTF">2023-04-25T10:44:00Z</dcterms:modified>
</cp:coreProperties>
</file>