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9658B1" w:rsidP="0096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br w:type="textWrapping" w:clear="all"/>
      </w: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28E18414" wp14:editId="6E94BDD1">
            <wp:extent cx="400050" cy="3661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" cy="3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B8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705CF8" w:rsidRPr="00705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Budowa</w:t>
      </w:r>
      <w:bookmarkEnd w:id="0"/>
      <w:r w:rsidR="009242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sieci</w:t>
      </w:r>
      <w:r w:rsidR="009658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wodociągowej w miejscowości Ustowo</w:t>
      </w:r>
      <w:r w:rsidR="00EF7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wraz z przyłączami oraz budowa rurociągu tłocznego kanalizacji sanitarnej</w:t>
      </w:r>
      <w:r w:rsidR="009242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gmina Kołbaskowo</w:t>
      </w:r>
      <w:r w:rsidR="00B85E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ustawy </w:t>
      </w:r>
      <w:proofErr w:type="spellStart"/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</w:p>
    <w:p w:rsidR="006C29C5" w:rsidRPr="00884377" w:rsidRDefault="006C29C5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 na podst. art. 7 ust. 1 UOBN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7603E" w:rsidRDefault="00471721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C207A3" w:rsidRPr="00EF7084" w:rsidRDefault="00C207A3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wzór tablicy informacyjnej o dofinansowaniu inwestycji.</w:t>
      </w: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9242D9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05CF8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</w:t>
      </w:r>
      <w:r w:rsidR="009242D9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sieci </w:t>
      </w:r>
      <w:r w:rsidR="00EF70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wodociągowej w miejscowości Ustowo wraz z przyłączami oraz budowa rurociągu tłoczonego kanalizacji sanitarnej</w:t>
      </w:r>
      <w:r w:rsidR="009242D9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gmina Kołbaskowo</w:t>
      </w:r>
      <w:r w:rsidR="00B85E52" w:rsidRPr="00924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przewiduje wybór najkorzystniejszej oferty z możliwością prowadzenia  negocjacji</w:t>
      </w:r>
    </w:p>
    <w:p w:rsidR="009C5249" w:rsidRDefault="00EF7084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 Zamawiający 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884377" w:rsidRDefault="00FA13BF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Zamawiający przewiduje udzielenie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zaliczki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na poczet wykonania zamówienia</w:t>
      </w: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w wysokości 5% kwoty wynagrodzenia</w:t>
      </w:r>
      <w:r w:rsidR="009C5249"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>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4377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nie zastrzega </w:t>
      </w: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F1383D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d</w:t>
      </w:r>
      <w:r w:rsidRPr="00F1383D">
        <w:rPr>
          <w:rFonts w:ascii="Times New Roman" w:hAnsi="Times New Roman"/>
          <w:sz w:val="24"/>
        </w:rPr>
        <w:t xml:space="preserve">okumentacja projektowa, specyfikacja techniczna  wykonania i  odbioru robót budowlanych  </w:t>
      </w:r>
      <w:r w:rsidR="00FA13BF">
        <w:rPr>
          <w:rFonts w:ascii="Times New Roman" w:hAnsi="Times New Roman"/>
          <w:sz w:val="24"/>
        </w:rPr>
        <w:t xml:space="preserve">opracowana przez Biuro Projektów INBUD Dariusz </w:t>
      </w:r>
      <w:proofErr w:type="spellStart"/>
      <w:r w:rsidR="00FA13BF">
        <w:rPr>
          <w:rFonts w:ascii="Times New Roman" w:hAnsi="Times New Roman"/>
          <w:sz w:val="24"/>
        </w:rPr>
        <w:t>Skuza</w:t>
      </w:r>
      <w:proofErr w:type="spellEnd"/>
      <w:r w:rsidR="00FA13BF">
        <w:rPr>
          <w:rFonts w:ascii="Times New Roman" w:hAnsi="Times New Roman"/>
          <w:sz w:val="24"/>
        </w:rPr>
        <w:t>, Zbigniew Woźniak, 71-004 Szczecin, ul. Kwiatkowskiego 32/13</w:t>
      </w:r>
      <w:r w:rsidRPr="00F1383D">
        <w:rPr>
          <w:rFonts w:ascii="Times New Roman" w:hAnsi="Times New Roman"/>
          <w:sz w:val="24"/>
        </w:rPr>
        <w:t>.</w:t>
      </w:r>
    </w:p>
    <w:p w:rsidR="00F1383D" w:rsidRPr="00F1383D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</w:t>
      </w:r>
      <w:r w:rsidR="00FA13BF">
        <w:rPr>
          <w:rFonts w:ascii="Times New Roman" w:hAnsi="Times New Roman"/>
          <w:sz w:val="24"/>
        </w:rPr>
        <w:t>ozwolenie na budowę Nr 343/2022</w:t>
      </w:r>
      <w:r w:rsidRPr="00F1383D">
        <w:rPr>
          <w:rFonts w:ascii="Times New Roman" w:hAnsi="Times New Roman"/>
          <w:sz w:val="24"/>
        </w:rPr>
        <w:t>, syg</w:t>
      </w:r>
      <w:r w:rsidR="00FA13BF">
        <w:rPr>
          <w:rFonts w:ascii="Times New Roman" w:hAnsi="Times New Roman"/>
          <w:sz w:val="24"/>
        </w:rPr>
        <w:t>natura akt AB.6740.36.K.2022.JN</w:t>
      </w:r>
      <w:r w:rsidRPr="00F1383D">
        <w:rPr>
          <w:rFonts w:ascii="Times New Roman" w:hAnsi="Times New Roman"/>
          <w:sz w:val="24"/>
        </w:rPr>
        <w:t xml:space="preserve"> z dnia 1</w:t>
      </w:r>
      <w:r w:rsidR="00FA13BF">
        <w:rPr>
          <w:rFonts w:ascii="Times New Roman" w:hAnsi="Times New Roman"/>
          <w:sz w:val="24"/>
        </w:rPr>
        <w:t>1</w:t>
      </w:r>
      <w:r w:rsidRPr="00F1383D">
        <w:rPr>
          <w:rFonts w:ascii="Times New Roman" w:hAnsi="Times New Roman"/>
          <w:sz w:val="24"/>
        </w:rPr>
        <w:t xml:space="preserve"> </w:t>
      </w:r>
      <w:r w:rsidR="00FA13BF">
        <w:rPr>
          <w:rFonts w:ascii="Times New Roman" w:hAnsi="Times New Roman"/>
          <w:sz w:val="24"/>
        </w:rPr>
        <w:t>kwietnia 2022</w:t>
      </w:r>
      <w:r w:rsidRPr="00F1383D">
        <w:rPr>
          <w:rFonts w:ascii="Times New Roman" w:hAnsi="Times New Roman"/>
          <w:sz w:val="24"/>
        </w:rPr>
        <w:t xml:space="preserve">r. </w:t>
      </w:r>
      <w:bookmarkStart w:id="1" w:name="_Hlk505325825"/>
      <w:r w:rsidRPr="00F1383D">
        <w:rPr>
          <w:rFonts w:ascii="Times New Roman" w:hAnsi="Times New Roman"/>
          <w:sz w:val="24"/>
        </w:rPr>
        <w:t>wydane przez Starostę Polickiego</w:t>
      </w:r>
      <w:bookmarkEnd w:id="1"/>
      <w:r w:rsidR="00FA13BF">
        <w:rPr>
          <w:rFonts w:ascii="Times New Roman" w:hAnsi="Times New Roman"/>
          <w:sz w:val="24"/>
        </w:rPr>
        <w:t>.</w:t>
      </w:r>
    </w:p>
    <w:p w:rsidR="00E64A5D" w:rsidRPr="00B85E52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1F34FD">
          <w:rPr>
            <w:rStyle w:val="Hipercze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C33898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zgodnie z § 11 ust. 2 Rozporządzenia Prezesa Rady Ministrów w sprawie sposobu sporządzania i przekazywania informacji oraz wymagań technicznych dla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3BF" w:rsidRPr="006B3CAB" w:rsidRDefault="00FA13BF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h.21eeoojwb3nb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 przyczyn leżących po stronie, w znacznym stopniu lub zakresie nie wykonał lub nienależycie wykonał albo długotrwale wykonał istotne zobowiązania wynikające z wcześniejszej umowy w sprawie zamówienia publicznego lub umowy koncesji, co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doprowadziło do wypowiedzenia lub odstąpienia od umowy, odszkodowania, wykonania zastępczego lub realizacji uprawnień z tytułu rękojmi za wady.</w:t>
      </w:r>
    </w:p>
    <w:p w:rsidR="00FA13BF" w:rsidRPr="00884377" w:rsidRDefault="00785AFE" w:rsidP="00FA13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z</w:t>
      </w:r>
      <w:r w:rsidR="00FA13BF" w:rsidRPr="00884377">
        <w:rPr>
          <w:rFonts w:ascii="Times New Roman" w:hAnsi="Times New Roman"/>
          <w:sz w:val="24"/>
          <w:szCs w:val="24"/>
        </w:rPr>
        <w:t>godnie z art. 7 ust. 1 ustawy z dnia 13 kwietnia 2022 r. o szczegó</w:t>
      </w:r>
      <w:r w:rsidRPr="00884377">
        <w:rPr>
          <w:rFonts w:ascii="Times New Roman" w:hAnsi="Times New Roman"/>
          <w:sz w:val="24"/>
          <w:szCs w:val="24"/>
        </w:rPr>
        <w:t xml:space="preserve">lnych rozwiązaniach w zakresie </w:t>
      </w:r>
      <w:r w:rsidR="00FA13BF" w:rsidRPr="00884377">
        <w:rPr>
          <w:rFonts w:ascii="Times New Roman" w:hAnsi="Times New Roman"/>
          <w:sz w:val="24"/>
          <w:szCs w:val="24"/>
        </w:rPr>
        <w:t>przeciwdziałania wspieraniu agresji na Ukrainę oraz słu</w:t>
      </w:r>
      <w:r w:rsidRPr="00884377">
        <w:rPr>
          <w:rFonts w:ascii="Times New Roman" w:hAnsi="Times New Roman"/>
          <w:sz w:val="24"/>
          <w:szCs w:val="24"/>
        </w:rPr>
        <w:t xml:space="preserve">żących ochronie bezpieczeństwa </w:t>
      </w:r>
      <w:r w:rsidR="00FA13BF" w:rsidRPr="00884377">
        <w:rPr>
          <w:rFonts w:ascii="Times New Roman" w:hAnsi="Times New Roman"/>
          <w:sz w:val="24"/>
          <w:szCs w:val="24"/>
        </w:rPr>
        <w:t>narodowego</w:t>
      </w:r>
      <w:r w:rsidR="00284304" w:rsidRPr="00884377">
        <w:rPr>
          <w:rFonts w:ascii="Times New Roman" w:hAnsi="Times New Roman"/>
          <w:sz w:val="24"/>
          <w:szCs w:val="24"/>
        </w:rPr>
        <w:t>, zwaną dalej „UOBN” tj.:</w:t>
      </w:r>
      <w:r w:rsidRPr="00884377">
        <w:rPr>
          <w:rFonts w:ascii="Times New Roman" w:hAnsi="Times New Roman"/>
          <w:sz w:val="24"/>
          <w:szCs w:val="24"/>
        </w:rPr>
        <w:t xml:space="preserve"> 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</w:t>
      </w:r>
      <w:r w:rsidR="00785AFE" w:rsidRPr="00884377">
        <w:rPr>
          <w:rFonts w:ascii="Times New Roman" w:hAnsi="Times New Roman"/>
          <w:sz w:val="24"/>
          <w:szCs w:val="24"/>
        </w:rPr>
        <w:t xml:space="preserve">ego w wykazach określonych w </w:t>
      </w:r>
      <w:r w:rsidRPr="00884377">
        <w:rPr>
          <w:rFonts w:ascii="Times New Roman" w:hAnsi="Times New Roman"/>
          <w:sz w:val="24"/>
          <w:szCs w:val="24"/>
        </w:rPr>
        <w:t>rozporządzeniu 765/2006 i rozporządzeniu 269/2014 albo wp</w:t>
      </w:r>
      <w:r w:rsidR="00785AFE" w:rsidRPr="00884377">
        <w:rPr>
          <w:rFonts w:ascii="Times New Roman" w:hAnsi="Times New Roman"/>
          <w:sz w:val="24"/>
          <w:szCs w:val="24"/>
        </w:rPr>
        <w:t xml:space="preserve">isanego na listę na podstawie </w:t>
      </w:r>
      <w:r w:rsidRPr="00884377">
        <w:rPr>
          <w:rFonts w:ascii="Times New Roman" w:hAnsi="Times New Roman"/>
          <w:sz w:val="24"/>
          <w:szCs w:val="24"/>
        </w:rPr>
        <w:t>decyzji w sprawie wpisu na listę rozstrzygającej o zastosowaniu</w:t>
      </w:r>
      <w:r w:rsidR="00785AFE" w:rsidRPr="00884377">
        <w:rPr>
          <w:rFonts w:ascii="Times New Roman" w:hAnsi="Times New Roman"/>
          <w:sz w:val="24"/>
          <w:szCs w:val="24"/>
        </w:rPr>
        <w:t xml:space="preserve"> środka, o którym mowa w art. </w:t>
      </w:r>
      <w:r w:rsidRPr="00884377">
        <w:rPr>
          <w:rFonts w:ascii="Times New Roman" w:hAnsi="Times New Roman"/>
          <w:sz w:val="24"/>
          <w:szCs w:val="24"/>
        </w:rPr>
        <w:t>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beneficjen</w:t>
      </w:r>
      <w:r w:rsidR="00284304" w:rsidRPr="00884377">
        <w:rPr>
          <w:rFonts w:ascii="Times New Roman" w:hAnsi="Times New Roman"/>
          <w:sz w:val="24"/>
          <w:szCs w:val="24"/>
        </w:rPr>
        <w:t xml:space="preserve">tem rzeczywistym w rozumieniu ustawy z 1 marca 2018 r. </w:t>
      </w:r>
      <w:r w:rsidR="00284304" w:rsidRPr="00884377">
        <w:rPr>
          <w:rFonts w:ascii="Times New Roman" w:hAnsi="Times New Roman"/>
          <w:sz w:val="24"/>
          <w:szCs w:val="24"/>
        </w:rPr>
        <w:br/>
        <w:t xml:space="preserve">o </w:t>
      </w:r>
      <w:r w:rsidRPr="00884377">
        <w:rPr>
          <w:rFonts w:ascii="Times New Roman" w:hAnsi="Times New Roman"/>
          <w:sz w:val="24"/>
          <w:szCs w:val="24"/>
        </w:rPr>
        <w:t>przeciwdziałaniu praniu pieniędzy</w:t>
      </w:r>
      <w:r w:rsidR="00284304" w:rsidRPr="00884377">
        <w:rPr>
          <w:rFonts w:ascii="Times New Roman" w:hAnsi="Times New Roman"/>
          <w:sz w:val="24"/>
          <w:szCs w:val="24"/>
        </w:rPr>
        <w:t xml:space="preserve"> oraz finansowaniu terroryzmu jest </w:t>
      </w:r>
      <w:r w:rsidRPr="00884377">
        <w:rPr>
          <w:rFonts w:ascii="Times New Roman" w:hAnsi="Times New Roman"/>
          <w:sz w:val="24"/>
          <w:szCs w:val="24"/>
        </w:rPr>
        <w:t>osoba wymieniona w wykazach określonych w rozporządze</w:t>
      </w:r>
      <w:r w:rsidR="00284304" w:rsidRPr="00884377">
        <w:rPr>
          <w:rFonts w:ascii="Times New Roman" w:hAnsi="Times New Roman"/>
          <w:sz w:val="24"/>
          <w:szCs w:val="24"/>
        </w:rPr>
        <w:t xml:space="preserve">niu 765/2006 i rozporządzeniu </w:t>
      </w:r>
      <w:r w:rsidRPr="00884377">
        <w:rPr>
          <w:rFonts w:ascii="Times New Roman" w:hAnsi="Times New Roman"/>
          <w:sz w:val="24"/>
          <w:szCs w:val="24"/>
        </w:rPr>
        <w:t>269/2014 albo wpisana na listę lub będąca takim beneficjen</w:t>
      </w:r>
      <w:r w:rsidR="00531AD9" w:rsidRPr="00884377">
        <w:rPr>
          <w:rFonts w:ascii="Times New Roman" w:hAnsi="Times New Roman"/>
          <w:sz w:val="24"/>
          <w:szCs w:val="24"/>
        </w:rPr>
        <w:t xml:space="preserve">tem rzeczywistym od 24 lutego </w:t>
      </w:r>
      <w:r w:rsidRPr="00884377">
        <w:rPr>
          <w:rFonts w:ascii="Times New Roman" w:hAnsi="Times New Roman"/>
          <w:sz w:val="24"/>
          <w:szCs w:val="24"/>
        </w:rPr>
        <w:t>2022 r., o ile została wpisana na listę na podstawie decy</w:t>
      </w:r>
      <w:r w:rsidR="00284304" w:rsidRPr="00884377">
        <w:rPr>
          <w:rFonts w:ascii="Times New Roman" w:hAnsi="Times New Roman"/>
          <w:sz w:val="24"/>
          <w:szCs w:val="24"/>
        </w:rPr>
        <w:t xml:space="preserve">zji w sprawie wpisu na listę </w:t>
      </w:r>
      <w:r w:rsidRPr="00884377">
        <w:rPr>
          <w:rFonts w:ascii="Times New Roman" w:hAnsi="Times New Roman"/>
          <w:sz w:val="24"/>
          <w:szCs w:val="24"/>
        </w:rPr>
        <w:t>rozstrzygającej o zastosowaniu środka, o którym 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</w:t>
      </w:r>
      <w:r w:rsidR="00284304" w:rsidRPr="00884377">
        <w:rPr>
          <w:rFonts w:ascii="Times New Roman" w:hAnsi="Times New Roman"/>
          <w:sz w:val="24"/>
          <w:szCs w:val="24"/>
        </w:rPr>
        <w:t xml:space="preserve">jącą w rozumieniu art. 3 ust. </w:t>
      </w:r>
      <w:r w:rsidRPr="00884377">
        <w:rPr>
          <w:rFonts w:ascii="Times New Roman" w:hAnsi="Times New Roman"/>
          <w:sz w:val="24"/>
          <w:szCs w:val="24"/>
        </w:rPr>
        <w:t xml:space="preserve">1 pkt 37 ustawy z 29 września 1994 r. o rachunkowości jest </w:t>
      </w:r>
      <w:r w:rsidR="00284304" w:rsidRPr="00884377">
        <w:rPr>
          <w:rFonts w:ascii="Times New Roman" w:hAnsi="Times New Roman"/>
          <w:sz w:val="24"/>
          <w:szCs w:val="24"/>
        </w:rPr>
        <w:t xml:space="preserve">podmiot wymieniony w wykazach </w:t>
      </w:r>
      <w:r w:rsidRPr="00884377">
        <w:rPr>
          <w:rFonts w:ascii="Times New Roman" w:hAnsi="Times New Roman"/>
          <w:sz w:val="24"/>
          <w:szCs w:val="24"/>
        </w:rPr>
        <w:t>określonych w rozporządzeniu 765/2006 i rozporządzeniu 269/2</w:t>
      </w:r>
      <w:r w:rsidR="00284304" w:rsidRPr="00884377">
        <w:rPr>
          <w:rFonts w:ascii="Times New Roman" w:hAnsi="Times New Roman"/>
          <w:sz w:val="24"/>
          <w:szCs w:val="24"/>
        </w:rPr>
        <w:t xml:space="preserve">014 albo wpisany na listę lub </w:t>
      </w:r>
      <w:r w:rsidRPr="00884377">
        <w:rPr>
          <w:rFonts w:ascii="Times New Roman" w:hAnsi="Times New Roman"/>
          <w:sz w:val="24"/>
          <w:szCs w:val="24"/>
        </w:rPr>
        <w:t>będący taką jednostką dominującą od 24 lutego 2022 r., o il</w:t>
      </w:r>
      <w:r w:rsidR="00284304" w:rsidRPr="00884377">
        <w:rPr>
          <w:rFonts w:ascii="Times New Roman" w:hAnsi="Times New Roman"/>
          <w:sz w:val="24"/>
          <w:szCs w:val="24"/>
        </w:rPr>
        <w:t xml:space="preserve">e został wpisany na listę na </w:t>
      </w:r>
      <w:r w:rsidRPr="00884377">
        <w:rPr>
          <w:rFonts w:ascii="Times New Roman" w:hAnsi="Times New Roman"/>
          <w:sz w:val="24"/>
          <w:szCs w:val="24"/>
        </w:rPr>
        <w:t xml:space="preserve">podstawie decyzji w sprawie wpisu na listę rozstrzygającej o </w:t>
      </w:r>
      <w:r w:rsidR="00284304" w:rsidRPr="00884377">
        <w:rPr>
          <w:rFonts w:ascii="Times New Roman" w:hAnsi="Times New Roman"/>
          <w:sz w:val="24"/>
          <w:szCs w:val="24"/>
        </w:rPr>
        <w:t xml:space="preserve">zastosowaniu środka, o którym </w:t>
      </w:r>
      <w:r w:rsidRPr="00884377">
        <w:rPr>
          <w:rFonts w:ascii="Times New Roman" w:hAnsi="Times New Roman"/>
          <w:sz w:val="24"/>
          <w:szCs w:val="24"/>
        </w:rPr>
        <w:t>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.</w:t>
      </w:r>
    </w:p>
    <w:p w:rsidR="00FA13BF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Wykluczenie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1 pkt 3) następować będzie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trwania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koliczności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Wykonawcy lub uczestnika konkursu wykluczonego na podstawie art. 7 ust. 1 UOBN Zamawiający odrzuca ofertę takiego Wykonawcy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1AD9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 xml:space="preserve">Zamawiający </w:t>
      </w:r>
      <w:r w:rsidR="00987553" w:rsidRPr="00884377">
        <w:rPr>
          <w:rFonts w:ascii="Times New Roman" w:hAnsi="Times New Roman"/>
        </w:rPr>
        <w:t>będzie weryfikował przesłankę wykluczenia, o której mowa w ust. 1 pkt 3) na podstawie</w:t>
      </w:r>
      <w:r w:rsidR="00531AD9" w:rsidRPr="00884377">
        <w:rPr>
          <w:rFonts w:ascii="Times New Roman" w:hAnsi="Times New Roman"/>
        </w:rPr>
        <w:t>:</w:t>
      </w:r>
    </w:p>
    <w:p w:rsidR="00987553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:rsidR="00FA13BF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:rsidR="00785AFE" w:rsidRDefault="005641FF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ust. 1 pkt 1) i 2) </w:t>
      </w:r>
      <w:r w:rsidR="00785A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1C12" w:rsidRPr="00F27478" w:rsidRDefault="00EC1C12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 udziału postępowania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7 ust. 1 UOBN,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aktualnego na dzień jego złożenia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lub równoważ</w:t>
      </w:r>
      <w:r w:rsidR="00441E67" w:rsidRPr="00F27478">
        <w:rPr>
          <w:rFonts w:ascii="Times New Roman" w:eastAsia="Times New Roman" w:hAnsi="Times New Roman"/>
          <w:sz w:val="24"/>
          <w:szCs w:val="24"/>
          <w:lang w:eastAsia="pl-PL"/>
        </w:rPr>
        <w:t>nego zagranicznego.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lastRenderedPageBreak/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:rsidR="005641FF" w:rsidRPr="00F27478" w:rsidRDefault="0001296A" w:rsidP="006C42D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:rsidR="005641FF" w:rsidRPr="00F27478" w:rsidRDefault="005641FF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B0155" w:rsidRDefault="00234653" w:rsidP="006C42D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9242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zł.</w:t>
      </w:r>
    </w:p>
    <w:p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0A32E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wodociągowej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0A32E9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Pr="000E75F1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="00B13670">
        <w:rPr>
          <w:rFonts w:ascii="Times New Roman" w:hAnsi="Times New Roman" w:cs="Times New Roman"/>
          <w:sz w:val="24"/>
          <w:szCs w:val="24"/>
        </w:rPr>
        <w:t xml:space="preserve"> co</w:t>
      </w:r>
      <w:r w:rsidRPr="00C06DC5">
        <w:rPr>
          <w:rFonts w:ascii="Times New Roman" w:hAnsi="Times New Roman" w:cs="Times New Roman"/>
          <w:sz w:val="24"/>
          <w:szCs w:val="24"/>
        </w:rPr>
        <w:t xml:space="preserve"> </w:t>
      </w:r>
      <w:r w:rsidR="00B13670">
        <w:rPr>
          <w:rFonts w:ascii="Times New Roman" w:hAnsi="Times New Roman" w:cs="Times New Roman"/>
          <w:sz w:val="24"/>
          <w:szCs w:val="24"/>
        </w:rPr>
        <w:t>najmniej 5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lata doświadczenia zawodowego (liczonego od dnia </w:t>
      </w:r>
      <w:r w:rsidR="00B13670">
        <w:rPr>
          <w:rFonts w:ascii="Times New Roman" w:hAnsi="Times New Roman" w:cs="Times New Roman"/>
          <w:sz w:val="24"/>
          <w:szCs w:val="24"/>
        </w:rPr>
        <w:tab/>
        <w:t xml:space="preserve">uzyskania  </w:t>
      </w:r>
      <w:r w:rsidR="00B13670" w:rsidRPr="000E75F1">
        <w:rPr>
          <w:rFonts w:ascii="Times New Roman" w:hAnsi="Times New Roman" w:cs="Times New Roman"/>
          <w:sz w:val="24"/>
          <w:szCs w:val="24"/>
        </w:rPr>
        <w:t>uprawnień) na stanowisku kierownika budowy lub robót,</w:t>
      </w:r>
    </w:p>
    <w:p w:rsidR="00B13670" w:rsidRPr="000E75F1" w:rsidRDefault="00B13670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4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4"/>
    </w:p>
    <w:p w:rsidR="00B13670" w:rsidRDefault="009242D9" w:rsidP="00B13670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instalacyjnej w zakresie sieci, instalacji i urządzeń wodociągowych i kanalizacyjnych, </w:t>
      </w:r>
      <w:r>
        <w:rPr>
          <w:rFonts w:ascii="Times New Roman" w:hAnsi="Times New Roman" w:cs="Times New Roman"/>
          <w:sz w:val="24"/>
        </w:rPr>
        <w:tab/>
        <w:t>cieplnych wentylacyjnych i gazowych bez ograniczeń.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884377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:rsidR="006B3CAB" w:rsidRPr="00884377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C33898"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lastRenderedPageBreak/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podmiotowym środkiem dowodowym jest oświadczenie, którego treść odpowiada zakresowi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F64D6A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97921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02693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umowy, ale nie krótszy niż </w:t>
      </w:r>
      <w:r w:rsidR="0002693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83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02693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0D7DBF" w:rsidRPr="00026934" w:rsidRDefault="003F7BFD" w:rsidP="00F1383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F1383D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83D" w:rsidRPr="00026934">
        <w:rPr>
          <w:rFonts w:ascii="Times New Roman" w:hAnsi="Times New Roman" w:cs="Times New Roman"/>
          <w:sz w:val="24"/>
        </w:rPr>
        <w:t>działka Nr ew. gr</w:t>
      </w:r>
      <w:r w:rsidR="00026934">
        <w:rPr>
          <w:rFonts w:ascii="Times New Roman" w:hAnsi="Times New Roman" w:cs="Times New Roman"/>
          <w:sz w:val="24"/>
        </w:rPr>
        <w:t>. 43/2, 66, 81/1, 81/2, 110 obręb Ustowo</w:t>
      </w:r>
      <w:r w:rsidR="00F1383D" w:rsidRPr="00026934">
        <w:rPr>
          <w:rFonts w:ascii="Times New Roman" w:hAnsi="Times New Roman" w:cs="Times New Roman"/>
          <w:sz w:val="24"/>
        </w:rPr>
        <w:t xml:space="preserve">. </w:t>
      </w:r>
    </w:p>
    <w:p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8E7FB8" w:rsidRPr="008E7FB8" w:rsidRDefault="008E7FB8" w:rsidP="008E7FB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● p</w:t>
      </w:r>
      <w:r w:rsidRPr="008E7FB8">
        <w:rPr>
          <w:rFonts w:ascii="Times New Roman" w:hAnsi="Times New Roman" w:cs="Times New Roman"/>
          <w:sz w:val="24"/>
        </w:rPr>
        <w:t xml:space="preserve">ełnej obsługi geodezyjnej, wraz ze sporządzeniem inwentaryzacji geodezyjnej </w:t>
      </w:r>
      <w:r>
        <w:rPr>
          <w:rFonts w:ascii="Times New Roman" w:hAnsi="Times New Roman" w:cs="Times New Roman"/>
          <w:sz w:val="24"/>
        </w:rPr>
        <w:t xml:space="preserve"> </w:t>
      </w:r>
      <w:r w:rsidRPr="008E7FB8">
        <w:rPr>
          <w:rFonts w:ascii="Times New Roman" w:hAnsi="Times New Roman" w:cs="Times New Roman"/>
          <w:sz w:val="24"/>
        </w:rPr>
        <w:t>powykonawczej 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i ustawienia tablic informacyjnych wynikających z prawa budowlanego,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Pr="008E7FB8">
        <w:rPr>
          <w:rFonts w:ascii="Times New Roman" w:hAnsi="Times New Roman" w:cs="Times New Roman"/>
          <w:sz w:val="24"/>
        </w:rPr>
        <w:t>ykonania pełnej dokumentacji powykonawczej,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rganizacji i likwidacji zaplecza i placu budowy,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Pr="008E7FB8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bezpieczenie placu budowy od odpowiedzialności cywilnej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Pr="008E7FB8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Pr="008E7FB8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Pr="008E7FB8">
        <w:rPr>
          <w:rFonts w:ascii="Times New Roman" w:hAnsi="Times New Roman" w:cs="Times New Roman"/>
          <w:color w:val="FF0000"/>
          <w:sz w:val="24"/>
        </w:rPr>
        <w:t xml:space="preserve">, </w:t>
      </w:r>
    </w:p>
    <w:p w:rsidR="008E7FB8" w:rsidRP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Pr="008E7FB8">
        <w:rPr>
          <w:rFonts w:ascii="Times New Roman" w:hAnsi="Times New Roman" w:cs="Times New Roman"/>
          <w:sz w:val="24"/>
        </w:rPr>
        <w:t>asilania zaplecza budowy w  niezbędne media,</w:t>
      </w:r>
    </w:p>
    <w:p w:rsidR="008E7FB8" w:rsidRPr="008E7FB8" w:rsidRDefault="008E7FB8" w:rsidP="008E7F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● u</w:t>
      </w:r>
      <w:r w:rsidRPr="008E7FB8">
        <w:rPr>
          <w:rFonts w:ascii="Times New Roman" w:hAnsi="Times New Roman" w:cs="Times New Roman"/>
          <w:b/>
          <w:sz w:val="24"/>
        </w:rPr>
        <w:t>zyskania w imieniu zamawiającego pozwolenia na użytkowanie lub dokonania zgłoszenia o zakończeniu robót potwierdzonego nie wniesieniem sprzeciwu przez PINB w Policach .</w:t>
      </w:r>
    </w:p>
    <w:p w:rsidR="008E7FB8" w:rsidRDefault="008E7FB8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z</w:t>
      </w:r>
      <w:r w:rsidRPr="008E7FB8">
        <w:rPr>
          <w:rFonts w:ascii="Times New Roman" w:hAnsi="Times New Roman" w:cs="Times New Roman"/>
          <w:b/>
          <w:sz w:val="24"/>
        </w:rPr>
        <w:t>apewnienia ciągłego dostępu do nieruchomości sąsiadujących z terenem wykonywania robot budowlanych,</w:t>
      </w:r>
    </w:p>
    <w:p w:rsidR="00BA09D9" w:rsidRDefault="00BA09D9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● opracowania, uzgodnienia i wprowadzenia czasowej organizacji ruch na drogach publicznych, </w:t>
      </w:r>
    </w:p>
    <w:p w:rsidR="00BA09D9" w:rsidRDefault="00BA09D9" w:rsidP="008E7F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czasowe zajęcie pasa drogowego,</w:t>
      </w:r>
    </w:p>
    <w:p w:rsidR="00BA09D9" w:rsidRPr="008E7FB8" w:rsidRDefault="00BA09D9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● uzyskanie pozwolenia na przeprowadzenie badań archeologicznych zgodnie z decyzją ZWKZ w Szczecinie Nr 1491/2016 z dnia 20.10.2016 r. oraz z ich przeprowadzenia,</w:t>
      </w:r>
    </w:p>
    <w:p w:rsidR="008E7FB8" w:rsidRDefault="008E7FB8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436CC">
        <w:rPr>
          <w:rFonts w:ascii="Times New Roman" w:hAnsi="Times New Roman" w:cs="Times New Roman"/>
          <w:b/>
          <w:sz w:val="24"/>
        </w:rPr>
        <w:t>● inne wynikające z dokumentacji projektowej i specyfikacji technicznej wykona</w:t>
      </w:r>
      <w:r w:rsidR="009436CC">
        <w:rPr>
          <w:rFonts w:ascii="Times New Roman" w:hAnsi="Times New Roman" w:cs="Times New Roman"/>
          <w:b/>
          <w:sz w:val="24"/>
        </w:rPr>
        <w:t xml:space="preserve">nia </w:t>
      </w:r>
      <w:r w:rsidR="00BA09D9">
        <w:rPr>
          <w:rFonts w:ascii="Times New Roman" w:hAnsi="Times New Roman" w:cs="Times New Roman"/>
          <w:b/>
          <w:sz w:val="24"/>
        </w:rPr>
        <w:br/>
      </w:r>
      <w:r w:rsidR="009436CC">
        <w:rPr>
          <w:rFonts w:ascii="Times New Roman" w:hAnsi="Times New Roman" w:cs="Times New Roman"/>
          <w:b/>
          <w:sz w:val="24"/>
        </w:rPr>
        <w:t>i odbioru robót budowlanych,</w:t>
      </w:r>
    </w:p>
    <w:p w:rsidR="00BA09D9" w:rsidRPr="009436CC" w:rsidRDefault="00BA09D9" w:rsidP="00BA09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● wykonanie i zamieszczenie w momencie </w:t>
      </w:r>
      <w:r w:rsidRPr="00BA09D9">
        <w:rPr>
          <w:rFonts w:ascii="Times New Roman" w:hAnsi="Times New Roman" w:cs="Times New Roman"/>
          <w:b/>
          <w:sz w:val="24"/>
          <w:szCs w:val="24"/>
        </w:rPr>
        <w:t xml:space="preserve">rozpoczęcia prac budowlanych </w:t>
      </w:r>
      <w:r w:rsidR="00A26441">
        <w:rPr>
          <w:rFonts w:ascii="Times New Roman" w:hAnsi="Times New Roman" w:cs="Times New Roman"/>
          <w:b/>
          <w:sz w:val="24"/>
          <w:szCs w:val="24"/>
        </w:rPr>
        <w:t xml:space="preserve">dwustronnej </w:t>
      </w:r>
      <w:r w:rsidRPr="00BA09D9">
        <w:rPr>
          <w:rFonts w:ascii="Times New Roman" w:hAnsi="Times New Roman" w:cs="Times New Roman"/>
          <w:b/>
          <w:sz w:val="24"/>
          <w:szCs w:val="24"/>
        </w:rPr>
        <w:t>tablicy</w:t>
      </w:r>
      <w:r>
        <w:rPr>
          <w:rFonts w:ascii="Times New Roman" w:hAnsi="Times New Roman" w:cs="Times New Roman"/>
          <w:b/>
          <w:sz w:val="24"/>
        </w:rPr>
        <w:t xml:space="preserve"> informacyjnej o dofinansowaniu inwestycji.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trybu wydawania opinii interpretacyjnych – „Zasadą jest, że zainteresowany podmiot sam klasyfikuje prowadzoną działalność, swoje produkty (wyroby i usługi), towary, środki trwałe i obiekty budowlane według zasad określonych w poszczególnych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8437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BA09D9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8843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884377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D64F40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BA09D9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8437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A09D9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5D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5D0D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F40">
        <w:rPr>
          <w:rFonts w:ascii="Times New Roman" w:eastAsia="Times New Roman" w:hAnsi="Times New Roman" w:cs="Times New Roman"/>
          <w:b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zostanie przyjęty termin </w:t>
      </w:r>
      <w:r w:rsidR="005D0D8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</w:t>
      </w:r>
      <w:r w:rsidR="0067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27D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uzyskaniu</w:t>
      </w:r>
      <w:r w:rsidR="00E70671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027D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Zamawiającego promesy inwestycyjnej od BGK</w:t>
      </w:r>
      <w:r w:rsidR="00F32A02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zapisami Wstępnej Promesy dotyczącej dofinansowania inwestycji z Programu Rządowy Fundusz Polski Ład: Program Inwestycji Strategicznych Nr 01/2021/519/</w:t>
      </w:r>
      <w:proofErr w:type="spellStart"/>
      <w:r w:rsidR="00F32A02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PolskiLad</w:t>
      </w:r>
      <w:proofErr w:type="spellEnd"/>
      <w:r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B3CAB" w:rsidRPr="00884377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</w:t>
      </w:r>
      <w:r w:rsidR="0067027D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zamówienia, ale po</w:t>
      </w:r>
      <w:r w:rsidR="00351697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697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uzyskaniu przez Zamawiającego </w:t>
      </w:r>
      <w:r w:rsidR="00F32A02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promesy inwestycyjnej od BGK zgodnie z zapisami Wstępnej Promesy dotyczącej dofinansowania inwestycji z Programu Rządowy Fundusz Polski Ład: Program Inwestycji Strategicznych Nr 01/2021/519/</w:t>
      </w:r>
      <w:proofErr w:type="spellStart"/>
      <w:r w:rsidR="00F32A02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PolskiLad</w:t>
      </w:r>
      <w:proofErr w:type="spellEnd"/>
      <w:r w:rsidR="00F32A02" w:rsidRPr="00884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0B5EC9" w:rsidRPr="006B3CAB" w:rsidRDefault="000B5EC9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0B5E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95 1240 3927 1111 0000 4099 1928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 dot. zadania inwestycyjnego pn.:</w:t>
      </w:r>
      <w:r w:rsidR="0035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Budowa sieci wodociągowej w miejscowości Ustowo wraz  z przyłączami oraz budowa rurociągu tłocznego kanalizacji sanitarnej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BA5C5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BA5C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BA5C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sieci</w:t>
      </w:r>
      <w:r w:rsidR="009E07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976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wodociągowej w miejscowości Ustowo wraz z przyłączami oraz budowa </w:t>
      </w:r>
      <w:r w:rsidR="0099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3976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rurociągu tłocznego </w:t>
      </w:r>
      <w:r w:rsidR="009945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kanalizacji sanitarnej</w:t>
      </w:r>
      <w:r w:rsidR="00D64F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gmina Kołbaskowo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38A" w:rsidRDefault="00A523C4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9945E7" w:rsidRDefault="00FB638A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306">
        <w:rPr>
          <w:rFonts w:ascii="Times New Roman" w:hAnsi="Times New Roman" w:cs="Times New Roman"/>
          <w:sz w:val="24"/>
          <w:szCs w:val="24"/>
        </w:rPr>
        <w:t>45</w:t>
      </w:r>
      <w:r w:rsidR="00063FAD">
        <w:rPr>
          <w:rFonts w:ascii="Times New Roman" w:hAnsi="Times New Roman" w:cs="Times New Roman"/>
          <w:sz w:val="24"/>
          <w:szCs w:val="24"/>
        </w:rPr>
        <w:t>231300-8 roboty budowlane w zakresie budowy</w:t>
      </w:r>
      <w:r>
        <w:rPr>
          <w:rFonts w:ascii="Times New Roman" w:hAnsi="Times New Roman" w:cs="Times New Roman"/>
          <w:sz w:val="24"/>
          <w:szCs w:val="24"/>
        </w:rPr>
        <w:t xml:space="preserve"> wodociągów i rurociągów do </w:t>
      </w:r>
      <w:r w:rsidR="00063FAD">
        <w:rPr>
          <w:rFonts w:ascii="Times New Roman" w:hAnsi="Times New Roman" w:cs="Times New Roman"/>
          <w:sz w:val="24"/>
          <w:szCs w:val="24"/>
        </w:rPr>
        <w:t xml:space="preserve">odprowadzania </w:t>
      </w:r>
      <w:r>
        <w:rPr>
          <w:rFonts w:ascii="Times New Roman" w:hAnsi="Times New Roman" w:cs="Times New Roman"/>
          <w:sz w:val="24"/>
          <w:szCs w:val="24"/>
        </w:rPr>
        <w:tab/>
      </w:r>
      <w:r w:rsidR="009945E7">
        <w:rPr>
          <w:rFonts w:ascii="Times New Roman" w:hAnsi="Times New Roman" w:cs="Times New Roman"/>
          <w:sz w:val="24"/>
          <w:szCs w:val="24"/>
        </w:rPr>
        <w:t>ścieków,</w:t>
      </w:r>
    </w:p>
    <w:p w:rsidR="009945E7" w:rsidRDefault="009945E7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45111200-0 roboty w zakresie przygotowania terenu pod budowę i roboty ziemne,</w:t>
      </w:r>
    </w:p>
    <w:p w:rsidR="00170306" w:rsidRPr="00DF2A35" w:rsidRDefault="009945E7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45233220-7 roboty w zakresie nawierzchni dróg.</w:t>
      </w:r>
      <w:r w:rsidR="00B40B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E92">
        <w:rPr>
          <w:rFonts w:ascii="Times New Roman" w:hAnsi="Times New Roman" w:cs="Times New Roman"/>
          <w:sz w:val="24"/>
          <w:szCs w:val="24"/>
        </w:rPr>
        <w:tab/>
      </w:r>
      <w:r w:rsidR="00150E92">
        <w:rPr>
          <w:rFonts w:ascii="Times New Roman" w:hAnsi="Times New Roman" w:cs="Times New Roman"/>
          <w:sz w:val="24"/>
          <w:szCs w:val="24"/>
        </w:rPr>
        <w:tab/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9945E7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30649731"/>
      <w:r>
        <w:rPr>
          <w:rFonts w:ascii="Times New Roman" w:hAnsi="Times New Roman" w:cs="Times New Roman"/>
          <w:sz w:val="24"/>
          <w:szCs w:val="24"/>
        </w:rPr>
        <w:t>s</w:t>
      </w:r>
      <w:r w:rsidR="00E5732E">
        <w:rPr>
          <w:rFonts w:ascii="Times New Roman" w:hAnsi="Times New Roman" w:cs="Times New Roman"/>
          <w:sz w:val="24"/>
          <w:szCs w:val="24"/>
        </w:rPr>
        <w:t>ieć wodociągowa: rury PE DN 200 – 2,6 m; rury PE DN 160 - 747,7 m</w:t>
      </w:r>
      <w:r>
        <w:rPr>
          <w:rFonts w:ascii="Times New Roman" w:hAnsi="Times New Roman" w:cs="Times New Roman"/>
          <w:sz w:val="24"/>
          <w:szCs w:val="24"/>
        </w:rPr>
        <w:t>; rury PE DN 50 – 6,5; rury PR DN 40 – 22,2 m; rury PE DN 32 – 802,3 m</w:t>
      </w:r>
    </w:p>
    <w:bookmarkEnd w:id="5"/>
    <w:p w:rsidR="00D64F40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hydranty naziemne wraz z systemem monitoringu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studnie wodomierzowe śr. 0,5 m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sieci wodociągowej – 18,8 m,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rurociąg tłoczny kanalizacji sanitarnej PE S DN 90 – 65,9 m,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kanalizacji PCV DN 200 – 3,0 m,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studzienki kanalizacyjne 1,0 m i 1,2 m,</w:t>
      </w:r>
    </w:p>
    <w:p w:rsidR="001729AB" w:rsidRDefault="001729AB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 przepompowni</w:t>
      </w:r>
      <w:r w:rsidR="007936B0">
        <w:rPr>
          <w:rFonts w:ascii="Times New Roman" w:hAnsi="Times New Roman" w:cs="Times New Roman"/>
          <w:sz w:val="24"/>
          <w:szCs w:val="24"/>
        </w:rPr>
        <w:t xml:space="preserve"> ścieków P-39 wraz z systemem monitoringu – 1 </w:t>
      </w:r>
      <w:proofErr w:type="spellStart"/>
      <w:r w:rsidR="007936B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936B0">
        <w:rPr>
          <w:rFonts w:ascii="Times New Roman" w:hAnsi="Times New Roman" w:cs="Times New Roman"/>
          <w:sz w:val="24"/>
          <w:szCs w:val="24"/>
        </w:rPr>
        <w:t>.,</w:t>
      </w:r>
    </w:p>
    <w:p w:rsidR="007936B0" w:rsidRDefault="007936B0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istniejącego uzbrojenia terenu,</w:t>
      </w:r>
    </w:p>
    <w:p w:rsidR="007936B0" w:rsidRDefault="007936B0" w:rsidP="006C42D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 terenu sąsiedniego dla stanu poprzedniego,</w:t>
      </w:r>
    </w:p>
    <w:p w:rsidR="007936B0" w:rsidRPr="00C207A3" w:rsidRDefault="0084498C" w:rsidP="006C42D3">
      <w:pPr>
        <w:numPr>
          <w:ilvl w:val="0"/>
          <w:numId w:val="40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07A3">
        <w:rPr>
          <w:rFonts w:ascii="Times New Roman" w:hAnsi="Times New Roman" w:cs="Times New Roman"/>
          <w:sz w:val="24"/>
          <w:szCs w:val="24"/>
        </w:rPr>
        <w:t xml:space="preserve">wykonanie i zamieszczenie </w:t>
      </w:r>
      <w:r w:rsidR="007936B0" w:rsidRPr="00C207A3">
        <w:rPr>
          <w:rFonts w:ascii="Times New Roman" w:hAnsi="Times New Roman" w:cs="Times New Roman"/>
          <w:sz w:val="24"/>
          <w:szCs w:val="24"/>
        </w:rPr>
        <w:t>d</w:t>
      </w:r>
      <w:r w:rsidRPr="00C207A3">
        <w:rPr>
          <w:rFonts w:ascii="Times New Roman" w:hAnsi="Times New Roman" w:cs="Times New Roman"/>
          <w:sz w:val="24"/>
          <w:szCs w:val="24"/>
        </w:rPr>
        <w:t>wustronnej</w:t>
      </w:r>
      <w:r w:rsidR="005B5064" w:rsidRPr="00C207A3">
        <w:rPr>
          <w:rFonts w:ascii="Times New Roman" w:hAnsi="Times New Roman" w:cs="Times New Roman"/>
          <w:sz w:val="24"/>
          <w:szCs w:val="24"/>
        </w:rPr>
        <w:t xml:space="preserve"> tablic</w:t>
      </w:r>
      <w:r w:rsidRPr="00C207A3">
        <w:rPr>
          <w:rFonts w:ascii="Times New Roman" w:hAnsi="Times New Roman" w:cs="Times New Roman"/>
          <w:sz w:val="24"/>
          <w:szCs w:val="24"/>
        </w:rPr>
        <w:t xml:space="preserve">y informacyjnej </w:t>
      </w:r>
      <w:r w:rsidR="00C207A3" w:rsidRPr="00C207A3">
        <w:rPr>
          <w:rFonts w:ascii="Times New Roman" w:hAnsi="Times New Roman" w:cs="Times New Roman"/>
          <w:sz w:val="24"/>
          <w:szCs w:val="24"/>
        </w:rPr>
        <w:t xml:space="preserve">o dofinansowaniu inwestycji </w:t>
      </w:r>
      <w:r w:rsidRPr="00C207A3">
        <w:rPr>
          <w:rFonts w:ascii="Times New Roman" w:hAnsi="Times New Roman" w:cs="Times New Roman"/>
          <w:sz w:val="24"/>
          <w:szCs w:val="24"/>
        </w:rPr>
        <w:t xml:space="preserve">pod warunkiem, że będzie </w:t>
      </w:r>
      <w:r w:rsidR="005B5064" w:rsidRPr="00C207A3">
        <w:rPr>
          <w:rFonts w:ascii="Times New Roman" w:hAnsi="Times New Roman" w:cs="Times New Roman"/>
          <w:sz w:val="24"/>
          <w:szCs w:val="24"/>
        </w:rPr>
        <w:t xml:space="preserve"> o</w:t>
      </w:r>
      <w:r w:rsidRPr="00C207A3">
        <w:rPr>
          <w:rFonts w:ascii="Times New Roman" w:hAnsi="Times New Roman" w:cs="Times New Roman"/>
          <w:sz w:val="24"/>
          <w:szCs w:val="24"/>
        </w:rPr>
        <w:t>na umieszczona prostopadle do obiektu liniowego albo jednostro</w:t>
      </w:r>
      <w:r w:rsidR="00C207A3" w:rsidRPr="00C207A3">
        <w:rPr>
          <w:rFonts w:ascii="Times New Roman" w:hAnsi="Times New Roman" w:cs="Times New Roman"/>
          <w:sz w:val="24"/>
          <w:szCs w:val="24"/>
        </w:rPr>
        <w:t xml:space="preserve">nną, jeżeli będzie ustawiona równolegle do obiektu liniowego </w:t>
      </w:r>
      <w:r w:rsidR="005B5064" w:rsidRPr="00C207A3">
        <w:rPr>
          <w:rFonts w:ascii="Times New Roman" w:hAnsi="Times New Roman" w:cs="Times New Roman"/>
          <w:sz w:val="24"/>
          <w:szCs w:val="24"/>
        </w:rPr>
        <w:t>o wymiarach 180x120 cm [</w:t>
      </w:r>
      <w:r w:rsidR="005B5064" w:rsidRPr="00C207A3">
        <w:rPr>
          <w:rStyle w:val="markedcontent"/>
          <w:rFonts w:ascii="Times New Roman" w:hAnsi="Times New Roman" w:cs="Times New Roman"/>
          <w:sz w:val="24"/>
          <w:szCs w:val="24"/>
        </w:rPr>
        <w:t>jeżeli ze względów technicznych lub</w:t>
      </w:r>
      <w:r w:rsidR="005B5064" w:rsidRPr="00C207A3">
        <w:rPr>
          <w:rFonts w:ascii="Times New Roman" w:hAnsi="Times New Roman" w:cs="Times New Roman"/>
          <w:sz w:val="24"/>
          <w:szCs w:val="24"/>
        </w:rPr>
        <w:t xml:space="preserve"> </w:t>
      </w:r>
      <w:r w:rsidR="005B5064" w:rsidRPr="00C207A3">
        <w:rPr>
          <w:rStyle w:val="markedcontent"/>
          <w:rFonts w:ascii="Times New Roman" w:hAnsi="Times New Roman" w:cs="Times New Roman"/>
          <w:sz w:val="24"/>
          <w:szCs w:val="24"/>
        </w:rPr>
        <w:t>biorąc pod uwagę względy bezpieczeństwa (np. przy wąskich pasach drogowych, przejściach dla pieszych) postawienie tablicy o tych wymiarach nie jest możliwe, dopuszcza się użycie tablicy o wymiarach 90 × 60 cm z płyty]</w:t>
      </w:r>
      <w:r w:rsidR="00244402" w:rsidRPr="00C207A3">
        <w:rPr>
          <w:rStyle w:val="markedcontent"/>
          <w:rFonts w:ascii="Times New Roman" w:hAnsi="Times New Roman" w:cs="Times New Roman"/>
          <w:sz w:val="24"/>
          <w:szCs w:val="24"/>
        </w:rPr>
        <w:t xml:space="preserve"> z płyty kompozytowej, tworzywa sztucznego pleksi lub PCV </w:t>
      </w:r>
      <w:r w:rsidR="00C207A3" w:rsidRPr="00C207A3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="00244402" w:rsidRPr="00C207A3">
        <w:rPr>
          <w:rStyle w:val="markedcontent"/>
          <w:rFonts w:ascii="Times New Roman" w:hAnsi="Times New Roman" w:cs="Times New Roman"/>
          <w:sz w:val="24"/>
          <w:szCs w:val="24"/>
        </w:rPr>
        <w:t xml:space="preserve">grubości minimum 3 mm </w:t>
      </w:r>
      <w:r w:rsidRPr="00C207A3">
        <w:rPr>
          <w:rStyle w:val="markedcontent"/>
          <w:rFonts w:ascii="Times New Roman" w:hAnsi="Times New Roman" w:cs="Times New Roman"/>
          <w:sz w:val="24"/>
          <w:szCs w:val="24"/>
        </w:rPr>
        <w:t>albo umieszcza na podkładzie metalowym z podwójnie</w:t>
      </w:r>
      <w:r w:rsidRPr="00C207A3">
        <w:rPr>
          <w:rFonts w:ascii="Times New Roman" w:hAnsi="Times New Roman" w:cs="Times New Roman"/>
          <w:sz w:val="24"/>
          <w:szCs w:val="24"/>
        </w:rPr>
        <w:t xml:space="preserve"> </w:t>
      </w:r>
      <w:r w:rsidRPr="00C207A3">
        <w:rPr>
          <w:rStyle w:val="markedcontent"/>
          <w:rFonts w:ascii="Times New Roman" w:hAnsi="Times New Roman" w:cs="Times New Roman"/>
          <w:sz w:val="24"/>
          <w:szCs w:val="24"/>
        </w:rPr>
        <w:t>zawiniętą krawędzią</w:t>
      </w:r>
      <w:r w:rsidR="00C207A3" w:rsidRPr="00C207A3">
        <w:rPr>
          <w:rStyle w:val="markedcontent"/>
          <w:rFonts w:ascii="Times New Roman" w:hAnsi="Times New Roman" w:cs="Times New Roman"/>
          <w:sz w:val="24"/>
          <w:szCs w:val="24"/>
        </w:rPr>
        <w:t xml:space="preserve"> wg.</w:t>
      </w:r>
      <w:r w:rsidR="00244402" w:rsidRPr="00C207A3">
        <w:rPr>
          <w:rStyle w:val="markedcontent"/>
          <w:rFonts w:ascii="Times New Roman" w:hAnsi="Times New Roman" w:cs="Times New Roman"/>
          <w:sz w:val="24"/>
          <w:szCs w:val="24"/>
        </w:rPr>
        <w:t xml:space="preserve"> uzgodnionego wzoru – 1 szt.</w:t>
      </w:r>
    </w:p>
    <w:p w:rsidR="00C207A3" w:rsidRDefault="00C207A3" w:rsidP="000B5EC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C207A3">
        <w:rPr>
          <w:rStyle w:val="markedcontent"/>
          <w:rFonts w:ascii="Times New Roman" w:hAnsi="Times New Roman"/>
          <w:sz w:val="24"/>
          <w:szCs w:val="24"/>
        </w:rPr>
        <w:t xml:space="preserve">W przypadku wątpliwości Tablica musi być wykonana </w:t>
      </w:r>
      <w:r w:rsidRPr="00C207A3">
        <w:rPr>
          <w:rStyle w:val="markedcontent"/>
          <w:rFonts w:ascii="Times New Roman" w:hAnsi="Times New Roman"/>
          <w:b/>
          <w:bCs/>
          <w:sz w:val="24"/>
          <w:szCs w:val="24"/>
        </w:rPr>
        <w:t>zgodnie z Rozporządzeniem Rady Ministrów z dnia 7 maja 2021 r. w sprawie określenia działań informacyjnych podejmowanych przed podmioty realizujące zadania finansowane lub dofinansowane z budżetu państwa lub państwowych funduszy celowych</w:t>
      </w:r>
      <w:r w:rsidRPr="00C207A3">
        <w:rPr>
          <w:rStyle w:val="markedcontent"/>
          <w:rFonts w:ascii="Times New Roman" w:hAnsi="Times New Roman"/>
          <w:sz w:val="24"/>
          <w:szCs w:val="24"/>
        </w:rPr>
        <w:t xml:space="preserve">.  </w:t>
      </w:r>
      <w:r w:rsidRPr="00C207A3">
        <w:rPr>
          <w:rFonts w:ascii="Times New Roman" w:hAnsi="Times New Roman"/>
          <w:sz w:val="24"/>
          <w:szCs w:val="24"/>
        </w:rPr>
        <w:t>Wzór tablicy znajduje się w załączniku nr 10 . Wersja wek</w:t>
      </w:r>
      <w:r>
        <w:rPr>
          <w:rFonts w:ascii="Times New Roman" w:hAnsi="Times New Roman"/>
          <w:sz w:val="24"/>
          <w:szCs w:val="24"/>
        </w:rPr>
        <w:t>torowa dostępna jest na stronie</w:t>
      </w:r>
      <w:r w:rsidRPr="00C207A3">
        <w:rPr>
          <w:rFonts w:ascii="Times New Roman" w:hAnsi="Times New Roman"/>
          <w:sz w:val="24"/>
          <w:szCs w:val="24"/>
        </w:rPr>
        <w:t>:</w:t>
      </w:r>
    </w:p>
    <w:p w:rsidR="00C207A3" w:rsidRPr="005B5064" w:rsidRDefault="00AF4582" w:rsidP="000B5EC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hyperlink r:id="rId86" w:anchor="c21655" w:history="1">
        <w:r w:rsidR="00C207A3" w:rsidRPr="00C207A3">
          <w:rPr>
            <w:rStyle w:val="Hipercze"/>
            <w:rFonts w:ascii="Times New Roman" w:hAnsi="Times New Roman"/>
            <w:sz w:val="24"/>
            <w:szCs w:val="24"/>
          </w:rPr>
          <w:t>https://www.bgk.pl/polski-lad/edycja-trzecia-pgr/#c21655</w:t>
        </w:r>
      </w:hyperlink>
    </w:p>
    <w:p w:rsidR="00814983" w:rsidRDefault="006B3CAB" w:rsidP="000B5EC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lastRenderedPageBreak/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</w:t>
      </w:r>
      <w:r w:rsidR="00150E92">
        <w:rPr>
          <w:b w:val="0"/>
          <w:sz w:val="23"/>
          <w:szCs w:val="23"/>
        </w:rPr>
        <w:t xml:space="preserve"> </w:t>
      </w:r>
      <w:r w:rsidR="00FB638A">
        <w:rPr>
          <w:b w:val="0"/>
          <w:sz w:val="23"/>
          <w:szCs w:val="23"/>
        </w:rPr>
        <w:t xml:space="preserve">rozbiórkowymi, </w:t>
      </w:r>
      <w:r w:rsidR="00150E92">
        <w:rPr>
          <w:b w:val="0"/>
          <w:sz w:val="23"/>
          <w:szCs w:val="23"/>
        </w:rPr>
        <w:t>montażowymi</w:t>
      </w:r>
      <w:r w:rsidR="00CF751B">
        <w:rPr>
          <w:b w:val="0"/>
          <w:sz w:val="23"/>
          <w:szCs w:val="23"/>
        </w:rPr>
        <w:t>, drogowymi</w:t>
      </w:r>
      <w:r w:rsidR="00150E92">
        <w:rPr>
          <w:b w:val="0"/>
          <w:sz w:val="23"/>
          <w:szCs w:val="23"/>
        </w:rPr>
        <w:t xml:space="preserve"> </w:t>
      </w:r>
      <w:r w:rsidR="006E00ED" w:rsidRPr="006E00ED">
        <w:rPr>
          <w:b w:val="0"/>
          <w:sz w:val="23"/>
          <w:szCs w:val="23"/>
        </w:rPr>
        <w:t>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150E92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dn. 06.05.</w:t>
      </w:r>
      <w:r w:rsidR="00556D08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6B3CAB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84377" w:rsidRP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</w:p>
    <w:sectPr w:rsidR="0096521C" w:rsidSect="00FE1B06">
      <w:headerReference w:type="default" r:id="rId87"/>
      <w:footerReference w:type="default" r:id="rId88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7E" w:rsidRDefault="00864B7E">
      <w:pPr>
        <w:spacing w:after="0" w:line="240" w:lineRule="auto"/>
      </w:pPr>
      <w:r>
        <w:separator/>
      </w:r>
    </w:p>
  </w:endnote>
  <w:endnote w:type="continuationSeparator" w:id="0">
    <w:p w:rsidR="00864B7E" w:rsidRDefault="008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2" w:rsidRDefault="00AF458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04C2">
      <w:rPr>
        <w:noProof/>
      </w:rPr>
      <w:t>30</w:t>
    </w:r>
    <w:r>
      <w:rPr>
        <w:noProof/>
      </w:rPr>
      <w:fldChar w:fldCharType="end"/>
    </w:r>
  </w:p>
  <w:p w:rsidR="00AF4582" w:rsidRDefault="00AF4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7E" w:rsidRDefault="00864B7E">
      <w:pPr>
        <w:spacing w:after="0" w:line="240" w:lineRule="auto"/>
      </w:pPr>
      <w:r>
        <w:separator/>
      </w:r>
    </w:p>
  </w:footnote>
  <w:footnote w:type="continuationSeparator" w:id="0">
    <w:p w:rsidR="00864B7E" w:rsidRDefault="008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2" w:rsidRDefault="00AF4582">
    <w:pPr>
      <w:pStyle w:val="Nagwek"/>
    </w:pPr>
    <w:r>
      <w:t>ZP.271.8.2022.ŻS</w:t>
    </w:r>
  </w:p>
  <w:p w:rsidR="00AF4582" w:rsidRDefault="00AF4582" w:rsidP="009658B1">
    <w:pPr>
      <w:jc w:val="center"/>
    </w:pPr>
  </w:p>
  <w:p w:rsidR="00AF4582" w:rsidRPr="009658B1" w:rsidRDefault="00AF4582" w:rsidP="009658B1">
    <w:pPr>
      <w:jc w:val="center"/>
      <w:rPr>
        <w:rFonts w:ascii="Times New Roman" w:hAnsi="Times New Roman" w:cs="Times New Roman"/>
        <w:sz w:val="24"/>
        <w:szCs w:val="24"/>
      </w:rPr>
    </w:pPr>
    <w:r w:rsidRPr="009658B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A53CB9A" wp14:editId="0BB6B2B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rFonts w:ascii="Times New Roman" w:hAnsi="Times New Roman" w:cs="Times New Roman"/>
        <w:sz w:val="24"/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  <w:p w:rsidR="00AF4582" w:rsidRPr="005352F4" w:rsidRDefault="00AF4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93FA591E"/>
    <w:lvl w:ilvl="0" w:tplc="3D6A6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56844"/>
    <w:multiLevelType w:val="hybridMultilevel"/>
    <w:tmpl w:val="886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7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0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33"/>
  </w:num>
  <w:num w:numId="9">
    <w:abstractNumId w:val="9"/>
  </w:num>
  <w:num w:numId="10">
    <w:abstractNumId w:val="19"/>
  </w:num>
  <w:num w:numId="11">
    <w:abstractNumId w:val="38"/>
  </w:num>
  <w:num w:numId="12">
    <w:abstractNumId w:val="15"/>
  </w:num>
  <w:num w:numId="13">
    <w:abstractNumId w:val="34"/>
  </w:num>
  <w:num w:numId="14">
    <w:abstractNumId w:val="42"/>
  </w:num>
  <w:num w:numId="15">
    <w:abstractNumId w:val="41"/>
  </w:num>
  <w:num w:numId="16">
    <w:abstractNumId w:val="29"/>
  </w:num>
  <w:num w:numId="17">
    <w:abstractNumId w:val="22"/>
  </w:num>
  <w:num w:numId="18">
    <w:abstractNumId w:val="35"/>
  </w:num>
  <w:num w:numId="19">
    <w:abstractNumId w:val="26"/>
  </w:num>
  <w:num w:numId="20">
    <w:abstractNumId w:val="37"/>
  </w:num>
  <w:num w:numId="21">
    <w:abstractNumId w:val="17"/>
  </w:num>
  <w:num w:numId="22">
    <w:abstractNumId w:val="16"/>
  </w:num>
  <w:num w:numId="23">
    <w:abstractNumId w:val="30"/>
  </w:num>
  <w:num w:numId="24">
    <w:abstractNumId w:val="13"/>
  </w:num>
  <w:num w:numId="25">
    <w:abstractNumId w:val="39"/>
  </w:num>
  <w:num w:numId="26">
    <w:abstractNumId w:val="20"/>
  </w:num>
  <w:num w:numId="27">
    <w:abstractNumId w:val="1"/>
  </w:num>
  <w:num w:numId="28">
    <w:abstractNumId w:val="2"/>
  </w:num>
  <w:num w:numId="29">
    <w:abstractNumId w:val="44"/>
  </w:num>
  <w:num w:numId="30">
    <w:abstractNumId w:val="3"/>
  </w:num>
  <w:num w:numId="31">
    <w:abstractNumId w:val="4"/>
  </w:num>
  <w:num w:numId="32">
    <w:abstractNumId w:val="5"/>
  </w:num>
  <w:num w:numId="33">
    <w:abstractNumId w:val="40"/>
  </w:num>
  <w:num w:numId="34">
    <w:abstractNumId w:val="8"/>
  </w:num>
  <w:num w:numId="35">
    <w:abstractNumId w:val="28"/>
  </w:num>
  <w:num w:numId="36">
    <w:abstractNumId w:val="25"/>
  </w:num>
  <w:num w:numId="37">
    <w:abstractNumId w:val="10"/>
  </w:num>
  <w:num w:numId="38">
    <w:abstractNumId w:val="11"/>
  </w:num>
  <w:num w:numId="39">
    <w:abstractNumId w:val="7"/>
  </w:num>
  <w:num w:numId="40">
    <w:abstractNumId w:val="21"/>
  </w:num>
  <w:num w:numId="41">
    <w:abstractNumId w:val="12"/>
  </w:num>
  <w:num w:numId="42">
    <w:abstractNumId w:val="27"/>
  </w:num>
  <w:num w:numId="43">
    <w:abstractNumId w:val="23"/>
  </w:num>
  <w:num w:numId="44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1296A"/>
    <w:rsid w:val="00026934"/>
    <w:rsid w:val="0004045B"/>
    <w:rsid w:val="00063FAD"/>
    <w:rsid w:val="00076523"/>
    <w:rsid w:val="00080A86"/>
    <w:rsid w:val="0008231D"/>
    <w:rsid w:val="00082738"/>
    <w:rsid w:val="00093261"/>
    <w:rsid w:val="00097878"/>
    <w:rsid w:val="000A0868"/>
    <w:rsid w:val="000A1313"/>
    <w:rsid w:val="000A32E9"/>
    <w:rsid w:val="000B2B1F"/>
    <w:rsid w:val="000B5EC9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23010"/>
    <w:rsid w:val="00130AAD"/>
    <w:rsid w:val="00142389"/>
    <w:rsid w:val="0014547A"/>
    <w:rsid w:val="00150E92"/>
    <w:rsid w:val="0015132F"/>
    <w:rsid w:val="00154202"/>
    <w:rsid w:val="00155F2E"/>
    <w:rsid w:val="00162995"/>
    <w:rsid w:val="00170306"/>
    <w:rsid w:val="001729AB"/>
    <w:rsid w:val="001809B1"/>
    <w:rsid w:val="00193151"/>
    <w:rsid w:val="001953C7"/>
    <w:rsid w:val="001A6E6E"/>
    <w:rsid w:val="001E7CAE"/>
    <w:rsid w:val="001F328D"/>
    <w:rsid w:val="001F557C"/>
    <w:rsid w:val="00205E35"/>
    <w:rsid w:val="0022070F"/>
    <w:rsid w:val="00234653"/>
    <w:rsid w:val="00244402"/>
    <w:rsid w:val="00245527"/>
    <w:rsid w:val="0026187A"/>
    <w:rsid w:val="00264DDE"/>
    <w:rsid w:val="00273CAF"/>
    <w:rsid w:val="00284304"/>
    <w:rsid w:val="002A5BA5"/>
    <w:rsid w:val="002B582C"/>
    <w:rsid w:val="002C363C"/>
    <w:rsid w:val="002C7089"/>
    <w:rsid w:val="002D4B12"/>
    <w:rsid w:val="002D7829"/>
    <w:rsid w:val="002E6560"/>
    <w:rsid w:val="002F5CD3"/>
    <w:rsid w:val="002F72FE"/>
    <w:rsid w:val="0030499D"/>
    <w:rsid w:val="0032062D"/>
    <w:rsid w:val="0032451D"/>
    <w:rsid w:val="00342DC8"/>
    <w:rsid w:val="00351697"/>
    <w:rsid w:val="00356383"/>
    <w:rsid w:val="00382A49"/>
    <w:rsid w:val="00391602"/>
    <w:rsid w:val="00391BD9"/>
    <w:rsid w:val="0039760D"/>
    <w:rsid w:val="003A132A"/>
    <w:rsid w:val="003B003B"/>
    <w:rsid w:val="003B21D4"/>
    <w:rsid w:val="003C077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41E67"/>
    <w:rsid w:val="00460A55"/>
    <w:rsid w:val="00462126"/>
    <w:rsid w:val="00471721"/>
    <w:rsid w:val="00476942"/>
    <w:rsid w:val="0049014B"/>
    <w:rsid w:val="004A14A3"/>
    <w:rsid w:val="004C08EF"/>
    <w:rsid w:val="004C578B"/>
    <w:rsid w:val="004C7C9F"/>
    <w:rsid w:val="00502697"/>
    <w:rsid w:val="00504AD8"/>
    <w:rsid w:val="00507D68"/>
    <w:rsid w:val="0052024F"/>
    <w:rsid w:val="00525716"/>
    <w:rsid w:val="00531AD9"/>
    <w:rsid w:val="0053555B"/>
    <w:rsid w:val="00556D08"/>
    <w:rsid w:val="005641FF"/>
    <w:rsid w:val="00565B93"/>
    <w:rsid w:val="005668F5"/>
    <w:rsid w:val="005B5064"/>
    <w:rsid w:val="005C0FF3"/>
    <w:rsid w:val="005C1523"/>
    <w:rsid w:val="005C1C0F"/>
    <w:rsid w:val="005C57ED"/>
    <w:rsid w:val="005D0D8D"/>
    <w:rsid w:val="005D32E2"/>
    <w:rsid w:val="005D397F"/>
    <w:rsid w:val="0062513C"/>
    <w:rsid w:val="00631B94"/>
    <w:rsid w:val="00651B77"/>
    <w:rsid w:val="00657D93"/>
    <w:rsid w:val="0067027D"/>
    <w:rsid w:val="00673BAA"/>
    <w:rsid w:val="0067603E"/>
    <w:rsid w:val="00680E48"/>
    <w:rsid w:val="00697921"/>
    <w:rsid w:val="006B3CAB"/>
    <w:rsid w:val="006B5B33"/>
    <w:rsid w:val="006C29C5"/>
    <w:rsid w:val="006C42D3"/>
    <w:rsid w:val="006C6D33"/>
    <w:rsid w:val="006D6066"/>
    <w:rsid w:val="006E00ED"/>
    <w:rsid w:val="00704F73"/>
    <w:rsid w:val="00705CF8"/>
    <w:rsid w:val="00715C58"/>
    <w:rsid w:val="00747E3C"/>
    <w:rsid w:val="00761F7C"/>
    <w:rsid w:val="007850A2"/>
    <w:rsid w:val="00785868"/>
    <w:rsid w:val="00785AFE"/>
    <w:rsid w:val="007936B0"/>
    <w:rsid w:val="007A0071"/>
    <w:rsid w:val="007A23C5"/>
    <w:rsid w:val="007B3E36"/>
    <w:rsid w:val="007C15BA"/>
    <w:rsid w:val="007D3B55"/>
    <w:rsid w:val="007F28EE"/>
    <w:rsid w:val="00803A12"/>
    <w:rsid w:val="008049E6"/>
    <w:rsid w:val="00811F5E"/>
    <w:rsid w:val="00814983"/>
    <w:rsid w:val="00823777"/>
    <w:rsid w:val="008339F4"/>
    <w:rsid w:val="0083732C"/>
    <w:rsid w:val="00837BC4"/>
    <w:rsid w:val="0084498C"/>
    <w:rsid w:val="00856756"/>
    <w:rsid w:val="00862435"/>
    <w:rsid w:val="00864B7E"/>
    <w:rsid w:val="00866051"/>
    <w:rsid w:val="008764F6"/>
    <w:rsid w:val="00884377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521C"/>
    <w:rsid w:val="009658B1"/>
    <w:rsid w:val="0098749E"/>
    <w:rsid w:val="00987553"/>
    <w:rsid w:val="0099423E"/>
    <w:rsid w:val="009945E7"/>
    <w:rsid w:val="009A4F40"/>
    <w:rsid w:val="009A77BB"/>
    <w:rsid w:val="009C5249"/>
    <w:rsid w:val="009E07EF"/>
    <w:rsid w:val="00A01E66"/>
    <w:rsid w:val="00A25C81"/>
    <w:rsid w:val="00A26441"/>
    <w:rsid w:val="00A43F36"/>
    <w:rsid w:val="00A523C4"/>
    <w:rsid w:val="00A72C32"/>
    <w:rsid w:val="00A833C4"/>
    <w:rsid w:val="00A84500"/>
    <w:rsid w:val="00A92715"/>
    <w:rsid w:val="00A92A08"/>
    <w:rsid w:val="00AB0D90"/>
    <w:rsid w:val="00AB18C5"/>
    <w:rsid w:val="00AC0B3C"/>
    <w:rsid w:val="00AC6989"/>
    <w:rsid w:val="00AD07DD"/>
    <w:rsid w:val="00AD1D24"/>
    <w:rsid w:val="00AE7A69"/>
    <w:rsid w:val="00AF4582"/>
    <w:rsid w:val="00AF7826"/>
    <w:rsid w:val="00B00A10"/>
    <w:rsid w:val="00B07958"/>
    <w:rsid w:val="00B10EB5"/>
    <w:rsid w:val="00B1181B"/>
    <w:rsid w:val="00B13670"/>
    <w:rsid w:val="00B211C8"/>
    <w:rsid w:val="00B246E9"/>
    <w:rsid w:val="00B278EA"/>
    <w:rsid w:val="00B30529"/>
    <w:rsid w:val="00B31F97"/>
    <w:rsid w:val="00B40B9C"/>
    <w:rsid w:val="00B47987"/>
    <w:rsid w:val="00B60150"/>
    <w:rsid w:val="00B74311"/>
    <w:rsid w:val="00B80800"/>
    <w:rsid w:val="00B85E52"/>
    <w:rsid w:val="00B87BDC"/>
    <w:rsid w:val="00B951D7"/>
    <w:rsid w:val="00BA09D9"/>
    <w:rsid w:val="00BA4106"/>
    <w:rsid w:val="00BA5C53"/>
    <w:rsid w:val="00BC5D25"/>
    <w:rsid w:val="00BE2817"/>
    <w:rsid w:val="00BE4358"/>
    <w:rsid w:val="00C06DC5"/>
    <w:rsid w:val="00C207A3"/>
    <w:rsid w:val="00C33898"/>
    <w:rsid w:val="00C36174"/>
    <w:rsid w:val="00C374FD"/>
    <w:rsid w:val="00C41DD2"/>
    <w:rsid w:val="00C4566A"/>
    <w:rsid w:val="00C53095"/>
    <w:rsid w:val="00C60C18"/>
    <w:rsid w:val="00C8633E"/>
    <w:rsid w:val="00C91C14"/>
    <w:rsid w:val="00CB6367"/>
    <w:rsid w:val="00CC04C2"/>
    <w:rsid w:val="00CC71F2"/>
    <w:rsid w:val="00CC7D8A"/>
    <w:rsid w:val="00CE2013"/>
    <w:rsid w:val="00CF751B"/>
    <w:rsid w:val="00D01710"/>
    <w:rsid w:val="00D10A97"/>
    <w:rsid w:val="00D15243"/>
    <w:rsid w:val="00D15C70"/>
    <w:rsid w:val="00D17617"/>
    <w:rsid w:val="00D21593"/>
    <w:rsid w:val="00D64F40"/>
    <w:rsid w:val="00D72AEA"/>
    <w:rsid w:val="00D7466B"/>
    <w:rsid w:val="00D82F67"/>
    <w:rsid w:val="00D86211"/>
    <w:rsid w:val="00DB47FE"/>
    <w:rsid w:val="00DB7E58"/>
    <w:rsid w:val="00DC7CD7"/>
    <w:rsid w:val="00DF0A3E"/>
    <w:rsid w:val="00DF2A35"/>
    <w:rsid w:val="00DF3831"/>
    <w:rsid w:val="00DF4795"/>
    <w:rsid w:val="00E03046"/>
    <w:rsid w:val="00E06C63"/>
    <w:rsid w:val="00E10F51"/>
    <w:rsid w:val="00E25762"/>
    <w:rsid w:val="00E3457C"/>
    <w:rsid w:val="00E52293"/>
    <w:rsid w:val="00E5732E"/>
    <w:rsid w:val="00E61BAB"/>
    <w:rsid w:val="00E6300E"/>
    <w:rsid w:val="00E64A5D"/>
    <w:rsid w:val="00E64F33"/>
    <w:rsid w:val="00E70671"/>
    <w:rsid w:val="00E73106"/>
    <w:rsid w:val="00E84A2C"/>
    <w:rsid w:val="00E85536"/>
    <w:rsid w:val="00E90620"/>
    <w:rsid w:val="00E9476B"/>
    <w:rsid w:val="00EB72A1"/>
    <w:rsid w:val="00EC1C12"/>
    <w:rsid w:val="00ED0DD3"/>
    <w:rsid w:val="00ED5F0F"/>
    <w:rsid w:val="00ED64AC"/>
    <w:rsid w:val="00EE3117"/>
    <w:rsid w:val="00EE5986"/>
    <w:rsid w:val="00EF2FFA"/>
    <w:rsid w:val="00EF697A"/>
    <w:rsid w:val="00EF7084"/>
    <w:rsid w:val="00F0087D"/>
    <w:rsid w:val="00F03EF9"/>
    <w:rsid w:val="00F0700B"/>
    <w:rsid w:val="00F1383D"/>
    <w:rsid w:val="00F16DF7"/>
    <w:rsid w:val="00F266E4"/>
    <w:rsid w:val="00F27478"/>
    <w:rsid w:val="00F32A02"/>
    <w:rsid w:val="00F42EAC"/>
    <w:rsid w:val="00F463AC"/>
    <w:rsid w:val="00F60B1C"/>
    <w:rsid w:val="00F64D6A"/>
    <w:rsid w:val="00F80C88"/>
    <w:rsid w:val="00F844B8"/>
    <w:rsid w:val="00F8587C"/>
    <w:rsid w:val="00FA13BF"/>
    <w:rsid w:val="00FB0155"/>
    <w:rsid w:val="00FB638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5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www.bgk.pl/polski-lad/edycja-trzecia-p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96CB-3711-49FC-B0E8-97658C0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11404</Words>
  <Characters>68427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29</cp:revision>
  <cp:lastPrinted>2022-05-06T07:32:00Z</cp:lastPrinted>
  <dcterms:created xsi:type="dcterms:W3CDTF">2022-04-25T07:09:00Z</dcterms:created>
  <dcterms:modified xsi:type="dcterms:W3CDTF">2022-05-06T07:43:00Z</dcterms:modified>
</cp:coreProperties>
</file>