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8F9" w14:textId="77777777" w:rsidR="00E21383" w:rsidRPr="00E21383" w:rsidRDefault="00E21383" w:rsidP="00E21383">
      <w:pPr>
        <w:spacing w:after="60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inline distT="0" distB="0" distL="0" distR="0" wp14:anchorId="1A307A8B" wp14:editId="50D9E762">
            <wp:extent cx="561975" cy="744434"/>
            <wp:effectExtent l="0" t="0" r="0" b="0"/>
            <wp:docPr id="2" name="Obraz 2" descr="LOGO_U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4" cy="75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F15E" w14:textId="77777777" w:rsidR="00E21383" w:rsidRPr="00E21383" w:rsidRDefault="00E21383" w:rsidP="00E21383">
      <w:pPr>
        <w:spacing w:after="60"/>
        <w:ind w:right="142"/>
        <w:rPr>
          <w:rFonts w:ascii="Century Gothic" w:hAnsi="Century Gothic" w:cs="Arial"/>
          <w:b/>
          <w:sz w:val="18"/>
          <w:szCs w:val="18"/>
        </w:rPr>
      </w:pPr>
      <w:r w:rsidRPr="00E2138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          </w:t>
      </w:r>
      <w:r w:rsidRPr="00E21383">
        <w:rPr>
          <w:rFonts w:ascii="Century Gothic" w:hAnsi="Century Gothic" w:cs="Arial"/>
          <w:b/>
          <w:sz w:val="18"/>
          <w:szCs w:val="18"/>
        </w:rPr>
        <w:t>UNIWERSYTECKIE CENTRUM STOMATOLOGICZNE</w:t>
      </w:r>
    </w:p>
    <w:p w14:paraId="6EE84C82" w14:textId="77777777" w:rsidR="00E21383" w:rsidRPr="00E21383" w:rsidRDefault="00E21383" w:rsidP="00E21383">
      <w:pPr>
        <w:spacing w:after="60"/>
        <w:ind w:right="142"/>
        <w:rPr>
          <w:rFonts w:ascii="Century Gothic" w:hAnsi="Century Gothic" w:cs="Arial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Gdańskiego Uniwersytetu Medycznego Sp. z o.o.</w:t>
      </w:r>
    </w:p>
    <w:p w14:paraId="60CBFB41" w14:textId="77777777" w:rsidR="00E21383" w:rsidRPr="00E21383" w:rsidRDefault="00E21383" w:rsidP="00E21383">
      <w:pPr>
        <w:spacing w:after="60"/>
        <w:rPr>
          <w:rFonts w:ascii="Century Gothic" w:hAnsi="Century Gothic" w:cs="Times New Roman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Dębowa 1a, 80-204 Gdańsk</w:t>
      </w:r>
    </w:p>
    <w:p w14:paraId="0C72D956" w14:textId="77777777" w:rsidR="00E21383" w:rsidRDefault="00E21383" w:rsidP="00E21383">
      <w:pPr>
        <w:ind w:right="142"/>
        <w:jc w:val="center"/>
        <w:rPr>
          <w:rFonts w:ascii="Century Gothic" w:hAnsi="Century Gothic" w:cs="Arial"/>
          <w:sz w:val="20"/>
          <w:szCs w:val="20"/>
        </w:rPr>
      </w:pPr>
    </w:p>
    <w:p w14:paraId="2D088139" w14:textId="77777777" w:rsidR="00E21383" w:rsidRDefault="00E21383" w:rsidP="00E21383">
      <w:pPr>
        <w:tabs>
          <w:tab w:val="left" w:pos="2400"/>
        </w:tabs>
        <w:ind w:right="142"/>
        <w:rPr>
          <w:rFonts w:ascii="Century Gothic" w:hAnsi="Century Gothic" w:cs="Arial"/>
          <w:b/>
        </w:rPr>
      </w:pPr>
    </w:p>
    <w:p w14:paraId="3A523E66" w14:textId="77777777" w:rsidR="00E21383" w:rsidRPr="00E21383" w:rsidRDefault="00E21383" w:rsidP="00E21383">
      <w:pPr>
        <w:ind w:right="142"/>
        <w:jc w:val="both"/>
        <w:rPr>
          <w:rFonts w:ascii="Century Gothic" w:hAnsi="Century Gothic" w:cs="Arial"/>
          <w:b/>
        </w:rPr>
      </w:pPr>
    </w:p>
    <w:p w14:paraId="0030AEF8" w14:textId="77777777" w:rsidR="00E21383" w:rsidRPr="00E21383" w:rsidRDefault="00E21383" w:rsidP="00E21383">
      <w:pPr>
        <w:ind w:right="142"/>
        <w:jc w:val="both"/>
        <w:rPr>
          <w:rFonts w:ascii="Century Gothic" w:hAnsi="Century Gothic" w:cs="Arial"/>
          <w:b/>
        </w:rPr>
      </w:pPr>
    </w:p>
    <w:p w14:paraId="66B50063" w14:textId="335257EB" w:rsidR="00E21383" w:rsidRPr="00E21383" w:rsidRDefault="007D279F" w:rsidP="00E21383">
      <w:pPr>
        <w:spacing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</w:t>
      </w:r>
      <w:r w:rsidR="00E21383" w:rsidRPr="00BB36D4">
        <w:rPr>
          <w:rFonts w:ascii="Century Gothic" w:hAnsi="Century Gothic" w:cs="Calibri"/>
        </w:rPr>
        <w:t>/202</w:t>
      </w:r>
      <w:r>
        <w:rPr>
          <w:rFonts w:ascii="Century Gothic" w:hAnsi="Century Gothic" w:cs="Calibri"/>
        </w:rPr>
        <w:t>2</w:t>
      </w:r>
      <w:r w:rsidR="00E21383" w:rsidRPr="00BB36D4">
        <w:rPr>
          <w:rFonts w:ascii="Century Gothic" w:hAnsi="Century Gothic" w:cs="Calibri"/>
        </w:rPr>
        <w:t xml:space="preserve">/sprzątanie                                                             Gdańsk, dnia </w:t>
      </w:r>
      <w:r>
        <w:rPr>
          <w:rFonts w:ascii="Century Gothic" w:hAnsi="Century Gothic" w:cs="Calibri"/>
        </w:rPr>
        <w:t>23</w:t>
      </w:r>
      <w:r w:rsidR="00E21383" w:rsidRPr="00BB36D4">
        <w:rPr>
          <w:rFonts w:ascii="Century Gothic" w:hAnsi="Century Gothic" w:cs="Calibri"/>
        </w:rPr>
        <w:t>.02.2021.</w:t>
      </w:r>
    </w:p>
    <w:p w14:paraId="48DCBAD2" w14:textId="77777777" w:rsidR="00E21383" w:rsidRPr="00E21383" w:rsidRDefault="00E21383" w:rsidP="00E213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</w:p>
    <w:p w14:paraId="56F7DEE2" w14:textId="77777777" w:rsidR="00E21383" w:rsidRPr="00E21383" w:rsidRDefault="00E21383" w:rsidP="00E213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</w:p>
    <w:p w14:paraId="7E2E60B6" w14:textId="77777777" w:rsidR="00E21383" w:rsidRPr="00E21383" w:rsidRDefault="00E21383" w:rsidP="00E213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  <w:b/>
        </w:rPr>
      </w:pPr>
      <w:r w:rsidRPr="00E21383">
        <w:rPr>
          <w:rFonts w:ascii="Century Gothic" w:hAnsi="Century Gothic" w:cs="Calibri"/>
          <w:b/>
        </w:rPr>
        <w:t>Do uczestników postępowania</w:t>
      </w:r>
    </w:p>
    <w:p w14:paraId="54411370" w14:textId="77777777" w:rsidR="00E21383" w:rsidRPr="00E21383" w:rsidRDefault="00E21383" w:rsidP="00E21383">
      <w:pPr>
        <w:pStyle w:val="Default"/>
        <w:jc w:val="both"/>
        <w:rPr>
          <w:rFonts w:ascii="Century Gothic" w:hAnsi="Century Gothic"/>
          <w:i/>
          <w:sz w:val="22"/>
          <w:szCs w:val="22"/>
        </w:rPr>
      </w:pPr>
    </w:p>
    <w:p w14:paraId="5F938A20" w14:textId="7903949B" w:rsidR="001E63A6" w:rsidRPr="00E21383" w:rsidRDefault="007600B2" w:rsidP="0090780D">
      <w:pPr>
        <w:pStyle w:val="Default"/>
        <w:spacing w:line="288" w:lineRule="auto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Dotyczy p</w:t>
      </w:r>
      <w:r w:rsidR="001E63A6" w:rsidRPr="00E21383">
        <w:rPr>
          <w:rFonts w:ascii="Century Gothic" w:hAnsi="Century Gothic"/>
          <w:iCs/>
          <w:sz w:val="22"/>
          <w:szCs w:val="22"/>
        </w:rPr>
        <w:t xml:space="preserve">ostępowania o udzielenie zamówienia publicznego </w:t>
      </w:r>
      <w:r w:rsidR="00E21383">
        <w:rPr>
          <w:rFonts w:ascii="Century Gothic" w:hAnsi="Century Gothic"/>
          <w:iCs/>
          <w:sz w:val="22"/>
          <w:szCs w:val="22"/>
        </w:rPr>
        <w:t>na św</w:t>
      </w:r>
      <w:r w:rsidR="001E63A6" w:rsidRPr="00E21383">
        <w:rPr>
          <w:rFonts w:ascii="Century Gothic" w:hAnsi="Century Gothic"/>
          <w:iCs/>
          <w:sz w:val="22"/>
          <w:szCs w:val="22"/>
        </w:rPr>
        <w:t>iadczenie usług sprzątania pomieszczeń w obiektach Uniwersyteckiego Centrum Stomatologicznego GUMed</w:t>
      </w:r>
      <w:r>
        <w:rPr>
          <w:rFonts w:ascii="Century Gothic" w:hAnsi="Century Gothic"/>
          <w:iCs/>
          <w:sz w:val="22"/>
          <w:szCs w:val="22"/>
        </w:rPr>
        <w:t>.</w:t>
      </w:r>
      <w:r w:rsidR="001E63A6" w:rsidRPr="00E21383">
        <w:rPr>
          <w:rFonts w:ascii="Century Gothic" w:hAnsi="Century Gothic"/>
          <w:iCs/>
          <w:sz w:val="22"/>
          <w:szCs w:val="22"/>
        </w:rPr>
        <w:t xml:space="preserve"> </w:t>
      </w:r>
    </w:p>
    <w:p w14:paraId="3A26D0AE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7E2081FE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4027E4DC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5583A1DD" w14:textId="77777777" w:rsidR="00E21383" w:rsidRPr="00E21383" w:rsidRDefault="00E21383" w:rsidP="0090780D">
      <w:pPr>
        <w:spacing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Uniwersyteckie Centrum Stomatologiczne</w:t>
      </w:r>
      <w:r w:rsidRPr="00E21383">
        <w:rPr>
          <w:rFonts w:ascii="Century Gothic" w:hAnsi="Century Gothic" w:cs="Calibri"/>
        </w:rPr>
        <w:t>, jako Zamawiający zawiadamia, iż na zgłoszone pisemnie pytania udziela odpowiedzi w oparciu o art. 284 ust. 2 ustawy z dnia 11 września 2019r. Prawo zamówień publicznych jak niżej:</w:t>
      </w:r>
    </w:p>
    <w:p w14:paraId="35E5823D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669CC458" w14:textId="1968EE08" w:rsidR="001C05CC" w:rsidRPr="001C05CC" w:rsidRDefault="00E21383" w:rsidP="0090780D">
      <w:pPr>
        <w:pStyle w:val="Default"/>
        <w:spacing w:after="169" w:line="288" w:lineRule="auto"/>
        <w:jc w:val="both"/>
        <w:rPr>
          <w:rFonts w:ascii="Century Gothic" w:hAnsi="Century Gothic"/>
          <w:sz w:val="22"/>
          <w:szCs w:val="22"/>
        </w:rPr>
      </w:pPr>
      <w:r w:rsidRPr="001C05CC">
        <w:rPr>
          <w:rFonts w:ascii="Century Gothic" w:hAnsi="Century Gothic"/>
          <w:b/>
          <w:sz w:val="22"/>
          <w:szCs w:val="22"/>
        </w:rPr>
        <w:t xml:space="preserve">Pytanie </w:t>
      </w:r>
      <w:r w:rsidR="001E63A6" w:rsidRPr="001C05CC">
        <w:rPr>
          <w:rFonts w:ascii="Century Gothic" w:hAnsi="Century Gothic"/>
          <w:b/>
          <w:sz w:val="22"/>
          <w:szCs w:val="22"/>
        </w:rPr>
        <w:t>1.</w:t>
      </w:r>
      <w:r w:rsidR="001E63A6" w:rsidRPr="001C05CC">
        <w:rPr>
          <w:rFonts w:ascii="Century Gothic" w:hAnsi="Century Gothic"/>
          <w:sz w:val="22"/>
          <w:szCs w:val="22"/>
        </w:rPr>
        <w:t xml:space="preserve"> </w:t>
      </w:r>
      <w:r w:rsidR="001C05CC" w:rsidRPr="001C05CC">
        <w:rPr>
          <w:rFonts w:ascii="Century Gothic" w:hAnsi="Century Gothic"/>
          <w:sz w:val="22"/>
          <w:szCs w:val="22"/>
        </w:rPr>
        <w:t xml:space="preserve">Zamawiający w SWZ dopuszcza możliwość udziału w postepowaniu podmiotów działających w ramach konsorcjum. Zważywszy na fakt, iż: </w:t>
      </w:r>
    </w:p>
    <w:p w14:paraId="7FBFCB48" w14:textId="7569E6AA" w:rsidR="001C05CC" w:rsidRPr="001C05CC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1C05CC">
        <w:rPr>
          <w:rFonts w:ascii="Century Gothic" w:hAnsi="Century Gothic"/>
          <w:sz w:val="22"/>
          <w:szCs w:val="22"/>
        </w:rPr>
        <w:t xml:space="preserve">a) obserwowaną na rynku praktyką jest sytuacja, w której o udzielenie zamówienia ubiegają się podmioty będące spółkami kapitałowymi, działające w ramach konsorcjum, a następnie – już na etapie świadczenia usługi - faktury wystawiane są przez kilkanaście spółek cywilnych założonych przez konsorcjantów, b) powyższe może budzić wątpliwości co do zgodności takiej praktyki z przepisami ustawy z dnia 11.09.2019 r. – Prawo zamówień publicznych oraz ustawy z dnia 11.03.2004 r. o podatku od towarów i usług (a zwłaszcza z art. 113 ust. 1 i 9 dotyczącym zwolnień podmiotowych, art. 106a – 106q dotyczącym zasad wystawiania faktur oraz art. 88 dotyczącym braku prawa do odliczenia VAT) co potwierdzają kontrole podatkowe prowadzone w firmach świadczących usługi outsourcingowe, Zwracamy się zwracamy się z uprzejmą prośbą o udzielenie informacji, czy Zamawiający po </w:t>
      </w:r>
      <w:r w:rsidRPr="001C05CC">
        <w:rPr>
          <w:rFonts w:ascii="Century Gothic" w:hAnsi="Century Gothic"/>
          <w:sz w:val="22"/>
          <w:szCs w:val="22"/>
        </w:rPr>
        <w:lastRenderedPageBreak/>
        <w:t>udzieleniu zamówienia dopuszcza możliwość wystawiania faktur przez inny podmiot (de facto: przez innego podatnika VAT), niż ubiegający się o udzielenie zamówienia członkowie konsorcjum.</w:t>
      </w:r>
    </w:p>
    <w:p w14:paraId="7E778033" w14:textId="6EBF226B" w:rsidR="001E63A6" w:rsidRPr="001C05CC" w:rsidRDefault="005016E0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5016E0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1C05CC">
        <w:rPr>
          <w:rFonts w:ascii="Century Gothic" w:hAnsi="Century Gothic"/>
          <w:color w:val="auto"/>
          <w:sz w:val="22"/>
          <w:szCs w:val="22"/>
        </w:rPr>
        <w:t xml:space="preserve"> Zamawiający </w:t>
      </w:r>
      <w:r w:rsidR="007D279F">
        <w:rPr>
          <w:rFonts w:ascii="Century Gothic" w:hAnsi="Century Gothic"/>
          <w:color w:val="auto"/>
          <w:sz w:val="22"/>
          <w:szCs w:val="22"/>
        </w:rPr>
        <w:t>wymaga</w:t>
      </w:r>
      <w:r w:rsidR="00E21383" w:rsidRPr="001C05CC">
        <w:rPr>
          <w:rFonts w:ascii="Century Gothic" w:hAnsi="Century Gothic"/>
          <w:color w:val="auto"/>
          <w:sz w:val="22"/>
          <w:szCs w:val="22"/>
        </w:rPr>
        <w:t>,</w:t>
      </w:r>
      <w:r w:rsidR="004D73FF" w:rsidRPr="001C05CC">
        <w:rPr>
          <w:rFonts w:ascii="Century Gothic" w:hAnsi="Century Gothic"/>
          <w:color w:val="auto"/>
          <w:sz w:val="22"/>
          <w:szCs w:val="22"/>
        </w:rPr>
        <w:t xml:space="preserve"> aby </w:t>
      </w:r>
      <w:r w:rsidR="00E21383" w:rsidRPr="001C05CC">
        <w:rPr>
          <w:rFonts w:ascii="Century Gothic" w:hAnsi="Century Gothic"/>
          <w:color w:val="auto"/>
          <w:sz w:val="22"/>
          <w:szCs w:val="22"/>
        </w:rPr>
        <w:t>W</w:t>
      </w:r>
      <w:r w:rsidR="004D73FF" w:rsidRPr="001C05CC">
        <w:rPr>
          <w:rFonts w:ascii="Century Gothic" w:hAnsi="Century Gothic"/>
          <w:color w:val="auto"/>
          <w:sz w:val="22"/>
          <w:szCs w:val="22"/>
        </w:rPr>
        <w:t>ykonawca wystawił jedną fakturę wystawioną przez Lidera konsorcjum.</w:t>
      </w:r>
    </w:p>
    <w:p w14:paraId="497E1D29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color w:val="FF0000"/>
          <w:sz w:val="22"/>
          <w:szCs w:val="22"/>
        </w:rPr>
      </w:pPr>
    </w:p>
    <w:p w14:paraId="71D865C1" w14:textId="77777777" w:rsidR="001C05CC" w:rsidRPr="001C05CC" w:rsidRDefault="00E21383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1C05CC">
        <w:rPr>
          <w:rFonts w:ascii="Century Gothic" w:hAnsi="Century Gothic"/>
          <w:b/>
          <w:color w:val="auto"/>
          <w:sz w:val="22"/>
          <w:szCs w:val="22"/>
        </w:rPr>
        <w:t xml:space="preserve">Pytanie </w:t>
      </w:r>
      <w:r w:rsidR="001E63A6" w:rsidRPr="001C05CC">
        <w:rPr>
          <w:rFonts w:ascii="Century Gothic" w:hAnsi="Century Gothic"/>
          <w:b/>
          <w:color w:val="auto"/>
          <w:sz w:val="22"/>
          <w:szCs w:val="22"/>
        </w:rPr>
        <w:t>2.</w:t>
      </w:r>
      <w:r w:rsidR="001E63A6" w:rsidRPr="001C05CC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C05CC" w:rsidRPr="001C05CC">
        <w:rPr>
          <w:rFonts w:ascii="Century Gothic" w:hAnsi="Century Gothic"/>
          <w:sz w:val="22"/>
          <w:szCs w:val="22"/>
        </w:rPr>
        <w:t>Zwracamy się z prośbą o modyfikację wzoru umowy, poprzez zmniejszenie wygórowanych kar umownych o 50%. 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Wielokrotnie wskazywała na to Krajowa Izba Odwoławcza, m.in. w wyroku z dnia 5 marca 2014 r., sygn. akt KIO 283/14. Zamawiający próbuje wykorzystać swoją pozycję dominującą w przetargu i wbrew zasadom współżycia społecznego, wprowadzić do umowy rażąco wygórowaną karę umowną, która z uwagi na swą konstrukcję, może mieć zastosowanie zarówno w przypadku drobnego uchybienia, nieskutkującego powstaniem jakiejkolwiek szkody po stronie Zamawiającego, jak i w przypadku niewykonania zobowiązania w znacznej części. Kara umowna winna zostać opisana w sposób zróżnicowany, w zależności od rangi, skutków i okresu trwania uchybienia, jak i wpływu uchybień na funkcjonowanie Zamawiającego. Nie można również zapominać, że podstawową funkcją kary umownej jest naprawienie szkody (zryczałtowane odszkodowanie), a zatem stawka kary umownej nie powinna być ustalona abstrakcyjnie, lecz z uwzględnieniem przewidywanej szkody, jaka może powstać po stronie Zamawiającego. Jednakże postanowienie projektu umowy nie zostało oparte na powyższych założeniach, stąd wniosek o jego zmianę. Zaproponowane przez wykonawcę zmiany poprzez obniżenie wysokości kar umownych, zróżnicowanie ich wysokości w stosunku o rangi, skutku i okresu trwania uchybienia i jego wpływu na funkcjonowanie zamawiającego ma z jednej strony zapewnić, iż w dalszym ciągu kary umowne będą spełniały funkcję represyjną, z drugiej zaś, że zaczną spełniać funkcję odszkodowawczą, a nie „zarobkową”.</w:t>
      </w:r>
    </w:p>
    <w:p w14:paraId="7920934F" w14:textId="30857404" w:rsidR="00724371" w:rsidRPr="00157738" w:rsidRDefault="005016E0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5016E0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157738">
        <w:rPr>
          <w:rFonts w:ascii="Century Gothic" w:hAnsi="Century Gothic"/>
          <w:color w:val="auto"/>
          <w:sz w:val="22"/>
          <w:szCs w:val="22"/>
        </w:rPr>
        <w:t xml:space="preserve"> Zamawiający nie przychyla się do wniosku Wykonawcy i nie obniży kar umownych przewidzianych w </w:t>
      </w:r>
      <w:r w:rsidR="00157738">
        <w:rPr>
          <w:rFonts w:ascii="Century Gothic" w:hAnsi="Century Gothic"/>
          <w:color w:val="auto"/>
          <w:sz w:val="22"/>
          <w:szCs w:val="22"/>
        </w:rPr>
        <w:t>projekcie umowy</w:t>
      </w:r>
      <w:r w:rsidR="004D73FF" w:rsidRPr="00157738">
        <w:rPr>
          <w:rFonts w:ascii="Century Gothic" w:hAnsi="Century Gothic"/>
          <w:color w:val="auto"/>
          <w:sz w:val="22"/>
          <w:szCs w:val="22"/>
        </w:rPr>
        <w:t>.</w:t>
      </w:r>
    </w:p>
    <w:p w14:paraId="71C044B8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1DE8370E" w14:textId="77777777" w:rsidR="007D279F" w:rsidRDefault="00E21383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7D279F">
        <w:rPr>
          <w:rFonts w:ascii="Century Gothic" w:hAnsi="Century Gothic"/>
          <w:b/>
          <w:color w:val="auto"/>
          <w:sz w:val="22"/>
          <w:szCs w:val="22"/>
        </w:rPr>
        <w:t xml:space="preserve">Pytanie </w:t>
      </w:r>
      <w:r w:rsidR="001E63A6" w:rsidRPr="007D279F">
        <w:rPr>
          <w:rFonts w:ascii="Century Gothic" w:hAnsi="Century Gothic"/>
          <w:b/>
          <w:color w:val="auto"/>
          <w:sz w:val="22"/>
          <w:szCs w:val="22"/>
        </w:rPr>
        <w:t>3.</w:t>
      </w:r>
      <w:r w:rsidR="00BB36D4" w:rsidRPr="007D279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C05CC" w:rsidRPr="007D279F">
        <w:rPr>
          <w:rFonts w:ascii="Century Gothic" w:hAnsi="Century Gothic"/>
          <w:sz w:val="22"/>
          <w:szCs w:val="22"/>
        </w:rPr>
        <w:t xml:space="preserve">Zmawiający określił w SWZ wymóg zatrudnienia pracowników wykonujących czynności porządkowe lub czynności sprzątania na umowę o pracę. Wnosimy o wyrażenie zgody na zatrudnienie pracowników na umowę zlecenie wyłącznie na zastępstwa urlopowo-chorobowe. 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wymaga chociażby dostarczenia badań lekarskich, co w sytuacjach </w:t>
      </w:r>
      <w:r w:rsidR="001C05CC" w:rsidRPr="007D279F">
        <w:rPr>
          <w:rFonts w:ascii="Century Gothic" w:hAnsi="Century Gothic"/>
          <w:sz w:val="22"/>
          <w:szCs w:val="22"/>
        </w:rPr>
        <w:lastRenderedPageBreak/>
        <w:t>nagłych jest nierealne i wymaga dodatkowego czasu. W związku z powyższym wnosimy jak na wstępie.</w:t>
      </w:r>
    </w:p>
    <w:p w14:paraId="78DF161C" w14:textId="1628F012" w:rsidR="00724371" w:rsidRPr="00BB36D4" w:rsidRDefault="005016E0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5016E0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7D279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BB36D4" w:rsidRPr="007D279F">
        <w:rPr>
          <w:rFonts w:ascii="Century Gothic" w:hAnsi="Century Gothic"/>
          <w:color w:val="auto"/>
          <w:sz w:val="22"/>
          <w:szCs w:val="22"/>
        </w:rPr>
        <w:t xml:space="preserve">Zamawiający nie wyraża zgody na zatrudnienie pracowników </w:t>
      </w:r>
      <w:r w:rsidR="00BB36D4" w:rsidRPr="007D279F">
        <w:rPr>
          <w:rFonts w:ascii="Century Gothic" w:hAnsi="Century Gothic"/>
          <w:bCs/>
          <w:color w:val="auto"/>
          <w:sz w:val="22"/>
          <w:szCs w:val="22"/>
        </w:rPr>
        <w:t>na zastępstwa urlopowo-chorobowe</w:t>
      </w:r>
      <w:r w:rsidR="00BB36D4" w:rsidRPr="007D279F">
        <w:rPr>
          <w:rFonts w:ascii="Century Gothic" w:hAnsi="Century Gothic"/>
          <w:color w:val="auto"/>
          <w:sz w:val="22"/>
          <w:szCs w:val="22"/>
        </w:rPr>
        <w:t xml:space="preserve"> na umowę zlecenie. Wykonawca w</w:t>
      </w:r>
      <w:r w:rsidR="004D73FF" w:rsidRPr="007D279F">
        <w:rPr>
          <w:rFonts w:ascii="Century Gothic" w:hAnsi="Century Gothic"/>
          <w:color w:val="auto"/>
          <w:sz w:val="22"/>
          <w:szCs w:val="22"/>
        </w:rPr>
        <w:t xml:space="preserve">inien organizować </w:t>
      </w:r>
      <w:r w:rsidR="00BB36D4" w:rsidRPr="007D279F">
        <w:rPr>
          <w:rFonts w:ascii="Century Gothic" w:hAnsi="Century Gothic"/>
          <w:color w:val="auto"/>
          <w:sz w:val="22"/>
          <w:szCs w:val="22"/>
        </w:rPr>
        <w:t xml:space="preserve">w taki sposób </w:t>
      </w:r>
      <w:r w:rsidR="004D73FF" w:rsidRPr="007D279F">
        <w:rPr>
          <w:rFonts w:ascii="Century Gothic" w:hAnsi="Century Gothic"/>
          <w:color w:val="auto"/>
          <w:sz w:val="22"/>
          <w:szCs w:val="22"/>
        </w:rPr>
        <w:t>sw</w:t>
      </w:r>
      <w:r w:rsidR="00BB36D4" w:rsidRPr="007D279F">
        <w:rPr>
          <w:rFonts w:ascii="Century Gothic" w:hAnsi="Century Gothic"/>
          <w:color w:val="auto"/>
          <w:sz w:val="22"/>
          <w:szCs w:val="22"/>
        </w:rPr>
        <w:t>oje zasoby ludzkie</w:t>
      </w:r>
      <w:r w:rsidR="004D73FF" w:rsidRPr="007D279F">
        <w:rPr>
          <w:rFonts w:ascii="Century Gothic" w:hAnsi="Century Gothic"/>
          <w:color w:val="auto"/>
          <w:sz w:val="22"/>
          <w:szCs w:val="22"/>
        </w:rPr>
        <w:t>, aby być w posiadaniu zastępczych zasobów ludzkich na wypadek nieplanowanej nieobecności personelu zasadniczego</w:t>
      </w:r>
      <w:r w:rsidR="004D73FF" w:rsidRPr="00BB36D4">
        <w:rPr>
          <w:rFonts w:ascii="Century Gothic" w:hAnsi="Century Gothic"/>
          <w:color w:val="auto"/>
          <w:sz w:val="22"/>
          <w:szCs w:val="22"/>
        </w:rPr>
        <w:t>.</w:t>
      </w:r>
    </w:p>
    <w:p w14:paraId="4EFDF90C" w14:textId="77777777" w:rsidR="00BB36D4" w:rsidRPr="00E21383" w:rsidRDefault="00BB36D4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7675A378" w14:textId="4AF444E9" w:rsidR="001C05CC" w:rsidRPr="007D279F" w:rsidRDefault="00E21383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7D279F">
        <w:rPr>
          <w:rFonts w:ascii="Century Gothic" w:hAnsi="Century Gothic"/>
          <w:b/>
          <w:color w:val="auto"/>
          <w:sz w:val="22"/>
          <w:szCs w:val="22"/>
        </w:rPr>
        <w:t xml:space="preserve">Pytanie </w:t>
      </w:r>
      <w:r w:rsidR="001E63A6" w:rsidRPr="007D279F">
        <w:rPr>
          <w:rFonts w:ascii="Century Gothic" w:hAnsi="Century Gothic"/>
          <w:b/>
          <w:color w:val="auto"/>
          <w:sz w:val="22"/>
          <w:szCs w:val="22"/>
        </w:rPr>
        <w:t>4.</w:t>
      </w:r>
      <w:r w:rsidR="001E63A6" w:rsidRPr="007D279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C05CC" w:rsidRPr="007D279F">
        <w:rPr>
          <w:rFonts w:ascii="Century Gothic" w:hAnsi="Century Gothic"/>
          <w:sz w:val="22"/>
          <w:szCs w:val="22"/>
        </w:rPr>
        <w:t>W związku z brakiem w treści ogłoszenia o zamówieniu/SWZ postanowień odnoszących się do sposobu oceny spełniania warunków udziału w postępowaniu przez Wykonawców ubiegających się wspólnie o udzielenie zamówienia publicznego, wnioskujemy o potwierdzenie, iż w przypadku Wykonawców wspólnie ubiegających się o udzielenie zamówienia, warunek dotyczący zdolności technicznej lub zawodowej może być spełniony łącznie przez Wykonawców występujących wspólnie”. Uzasadnienie: Na Zamawiającym ciąży obowiązek jasnego, precyzyjnego, wyczerpującego określenia SIWZ, którego jednym z elementów stanowi określenie warunków udziału w postępowaniu oraz sposobu spełniania tych warunków przez wykonawców wspólnie ubiegających się o udzielenie zamówienia. Mając powyższe na uwadze zasadnym jest uzupełnienie postanowień SIWZ umowy o propozycje zgłoszone przez Wykonawcę a odnoszące się do precyzyjnego określenia jak określone przez Zamawiającego warunku udziału w postępowaniu mają spełniać wykonawcy o których mowa w art. 117 ust. 4 ustawy z dnia 11 września 2019 r. Prawo zamówień publicznych</w:t>
      </w:r>
    </w:p>
    <w:p w14:paraId="67E9902D" w14:textId="6C035C3F" w:rsidR="00AB5F52" w:rsidRPr="007D279F" w:rsidRDefault="005016E0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5016E0">
        <w:rPr>
          <w:rFonts w:ascii="Century Gothic" w:hAnsi="Century Gothic"/>
          <w:b/>
          <w:bCs/>
          <w:sz w:val="22"/>
          <w:szCs w:val="22"/>
        </w:rPr>
        <w:t>Odpowiedź:</w:t>
      </w:r>
      <w:r w:rsidR="004D73FF" w:rsidRPr="007D279F">
        <w:rPr>
          <w:rFonts w:ascii="Century Gothic" w:hAnsi="Century Gothic"/>
          <w:sz w:val="22"/>
          <w:szCs w:val="22"/>
        </w:rPr>
        <w:t xml:space="preserve"> Zamawiający w SWZ o</w:t>
      </w:r>
      <w:r w:rsidR="00E21383" w:rsidRPr="007D279F">
        <w:rPr>
          <w:rFonts w:ascii="Century Gothic" w:hAnsi="Century Gothic"/>
          <w:sz w:val="22"/>
          <w:szCs w:val="22"/>
        </w:rPr>
        <w:t>pisał warun</w:t>
      </w:r>
      <w:r w:rsidR="004D73FF" w:rsidRPr="007D279F">
        <w:rPr>
          <w:rFonts w:ascii="Century Gothic" w:hAnsi="Century Gothic"/>
          <w:sz w:val="22"/>
          <w:szCs w:val="22"/>
        </w:rPr>
        <w:t>e</w:t>
      </w:r>
      <w:r w:rsidR="00E21383" w:rsidRPr="007D279F">
        <w:rPr>
          <w:rFonts w:ascii="Century Gothic" w:hAnsi="Century Gothic"/>
          <w:sz w:val="22"/>
          <w:szCs w:val="22"/>
        </w:rPr>
        <w:t>k</w:t>
      </w:r>
      <w:r w:rsidR="004D73FF" w:rsidRPr="007D279F">
        <w:rPr>
          <w:rFonts w:ascii="Century Gothic" w:hAnsi="Century Gothic"/>
          <w:sz w:val="22"/>
          <w:szCs w:val="22"/>
        </w:rPr>
        <w:t xml:space="preserve"> udziału dotyczący zdolności technicznej lub zawodowej </w:t>
      </w:r>
      <w:r w:rsidR="00E21383" w:rsidRPr="007D279F">
        <w:rPr>
          <w:rFonts w:ascii="Century Gothic" w:hAnsi="Century Gothic"/>
          <w:sz w:val="22"/>
          <w:szCs w:val="22"/>
        </w:rPr>
        <w:t>w następujący sposób</w:t>
      </w:r>
      <w:r w:rsidR="004D73FF" w:rsidRPr="007D279F">
        <w:rPr>
          <w:rFonts w:ascii="Century Gothic" w:hAnsi="Century Gothic"/>
          <w:sz w:val="22"/>
          <w:szCs w:val="22"/>
        </w:rPr>
        <w:t xml:space="preserve">: </w:t>
      </w:r>
    </w:p>
    <w:p w14:paraId="064CF8C0" w14:textId="0E82E01C" w:rsidR="004D73FF" w:rsidRPr="007D279F" w:rsidRDefault="00AB5F52" w:rsidP="0090780D">
      <w:pPr>
        <w:pStyle w:val="NormalnyArialNarrow"/>
        <w:spacing w:after="120" w:line="288" w:lineRule="auto"/>
        <w:rPr>
          <w:rFonts w:ascii="Century Gothic" w:hAnsi="Century Gothic" w:cs="Calibri"/>
        </w:rPr>
      </w:pPr>
      <w:r w:rsidRPr="007D279F">
        <w:rPr>
          <w:rFonts w:ascii="Century Gothic" w:hAnsi="Century Gothic" w:cs="Calibri"/>
        </w:rPr>
        <w:t>„</w:t>
      </w:r>
      <w:r w:rsidR="004D73FF" w:rsidRPr="007D279F">
        <w:rPr>
          <w:rFonts w:ascii="Century Gothic" w:eastAsia="Calibri" w:hAnsi="Century Gothic" w:cs="Tahoma"/>
          <w:iCs/>
          <w:lang w:eastAsia="en-US"/>
        </w:rPr>
        <w:t xml:space="preserve">Zamawiający uzna ww. warunek za spełniony jeżeli Wykonawca wykaże, że w okresie ostatnich trzech, a jeżeli okres prowadzenia działalności jest krótszy - w tym okresie, wykonał/wykonuje co najmniej </w:t>
      </w:r>
      <w:r w:rsidR="004D73FF" w:rsidRPr="007D279F">
        <w:rPr>
          <w:rFonts w:ascii="Century Gothic" w:eastAsia="Calibri" w:hAnsi="Century Gothic" w:cs="Tahoma"/>
          <w:b/>
          <w:iCs/>
          <w:lang w:eastAsia="en-US"/>
        </w:rPr>
        <w:t>jedną usługę</w:t>
      </w:r>
      <w:r w:rsidR="004D73FF" w:rsidRPr="007D279F">
        <w:rPr>
          <w:rFonts w:ascii="Century Gothic" w:eastAsia="Calibri" w:hAnsi="Century Gothic" w:cs="Tahoma"/>
          <w:iCs/>
          <w:lang w:eastAsia="en-US"/>
        </w:rPr>
        <w:t xml:space="preserve"> (umowę) </w:t>
      </w:r>
      <w:r w:rsidR="004D73FF" w:rsidRPr="007D279F">
        <w:rPr>
          <w:rFonts w:ascii="Century Gothic" w:hAnsi="Century Gothic" w:cs="Calibri"/>
        </w:rPr>
        <w:t xml:space="preserve">polegającą na sprzątaniu pomieszczeń przez minimum 12 miesięcy o wartości minimalnej </w:t>
      </w:r>
      <w:r w:rsidR="007D279F">
        <w:rPr>
          <w:rFonts w:ascii="Century Gothic" w:hAnsi="Century Gothic" w:cs="Calibri"/>
        </w:rPr>
        <w:t>4</w:t>
      </w:r>
      <w:r w:rsidR="004D73FF" w:rsidRPr="007D279F">
        <w:rPr>
          <w:rFonts w:ascii="Century Gothic" w:hAnsi="Century Gothic" w:cs="Calibri"/>
        </w:rPr>
        <w:t xml:space="preserve">00 000,00 zł brutto rocznie, na obiekcie o powierzchni minimum 2 000 m2 </w:t>
      </w:r>
    </w:p>
    <w:p w14:paraId="51EF8E87" w14:textId="77777777" w:rsidR="004D73FF" w:rsidRPr="007D279F" w:rsidRDefault="004D73FF" w:rsidP="0090780D">
      <w:pPr>
        <w:pStyle w:val="Default"/>
        <w:spacing w:line="288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14:paraId="6E3BB465" w14:textId="77777777" w:rsidR="004D73FF" w:rsidRPr="007D279F" w:rsidRDefault="004D73FF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7D279F">
        <w:rPr>
          <w:rFonts w:ascii="Century Gothic" w:hAnsi="Century Gothic"/>
          <w:bCs/>
          <w:color w:val="auto"/>
          <w:sz w:val="22"/>
          <w:szCs w:val="22"/>
        </w:rPr>
        <w:t xml:space="preserve">Uwaga: </w:t>
      </w:r>
      <w:r w:rsidRPr="007D279F">
        <w:rPr>
          <w:rFonts w:ascii="Century Gothic" w:hAnsi="Century Gothic"/>
          <w:color w:val="auto"/>
          <w:sz w:val="22"/>
          <w:szCs w:val="22"/>
        </w:rPr>
        <w:t xml:space="preserve">Jedna usługa to jedna umowa, w ramach której wykonano lub nadal są wykonywane usługi sprzątania powierzchni biurowych odpowiadające postawionemu warunkowi. Wykonawca może wykazać, zgodnie ze swoim wyborem, usługę wykonaną lub wykonywaną przy czym: </w:t>
      </w:r>
    </w:p>
    <w:p w14:paraId="0384815A" w14:textId="77777777" w:rsidR="004D73FF" w:rsidRPr="007D279F" w:rsidRDefault="004D73FF" w:rsidP="0090780D">
      <w:pPr>
        <w:pStyle w:val="Default"/>
        <w:spacing w:line="288" w:lineRule="auto"/>
        <w:ind w:left="284"/>
        <w:jc w:val="both"/>
        <w:rPr>
          <w:rFonts w:ascii="Century Gothic" w:hAnsi="Century Gothic"/>
          <w:color w:val="auto"/>
          <w:sz w:val="22"/>
          <w:szCs w:val="22"/>
        </w:rPr>
      </w:pPr>
      <w:r w:rsidRPr="007D279F">
        <w:rPr>
          <w:rFonts w:ascii="Century Gothic" w:hAnsi="Century Gothic"/>
          <w:color w:val="auto"/>
          <w:sz w:val="22"/>
          <w:szCs w:val="22"/>
        </w:rPr>
        <w:t xml:space="preserve">- pod pojęciem </w:t>
      </w:r>
      <w:r w:rsidRPr="007D279F">
        <w:rPr>
          <w:rFonts w:ascii="Century Gothic" w:hAnsi="Century Gothic"/>
          <w:bCs/>
          <w:color w:val="auto"/>
          <w:sz w:val="22"/>
          <w:szCs w:val="22"/>
        </w:rPr>
        <w:t xml:space="preserve">usługi wykonanej </w:t>
      </w:r>
      <w:r w:rsidRPr="007D279F">
        <w:rPr>
          <w:rFonts w:ascii="Century Gothic" w:hAnsi="Century Gothic"/>
          <w:color w:val="auto"/>
          <w:sz w:val="22"/>
          <w:szCs w:val="22"/>
        </w:rPr>
        <w:t xml:space="preserve">należy rozumieć usługę zrealizowaną (rozpoczętą i zakończoną) </w:t>
      </w:r>
    </w:p>
    <w:p w14:paraId="0D631A83" w14:textId="0C74A89A" w:rsidR="00250248" w:rsidRPr="007D279F" w:rsidRDefault="004D73FF" w:rsidP="0090780D">
      <w:pPr>
        <w:pStyle w:val="Default"/>
        <w:spacing w:line="288" w:lineRule="auto"/>
        <w:ind w:left="284"/>
        <w:jc w:val="both"/>
        <w:rPr>
          <w:rFonts w:ascii="Century Gothic" w:hAnsi="Century Gothic"/>
          <w:color w:val="auto"/>
          <w:sz w:val="22"/>
          <w:szCs w:val="22"/>
        </w:rPr>
      </w:pPr>
      <w:r w:rsidRPr="007D279F">
        <w:rPr>
          <w:rFonts w:ascii="Century Gothic" w:hAnsi="Century Gothic"/>
          <w:color w:val="auto"/>
          <w:sz w:val="22"/>
          <w:szCs w:val="22"/>
        </w:rPr>
        <w:t xml:space="preserve">- pod pojęciem </w:t>
      </w:r>
      <w:r w:rsidRPr="007D279F">
        <w:rPr>
          <w:rFonts w:ascii="Century Gothic" w:hAnsi="Century Gothic"/>
          <w:bCs/>
          <w:color w:val="auto"/>
          <w:sz w:val="22"/>
          <w:szCs w:val="22"/>
        </w:rPr>
        <w:t xml:space="preserve">usługi wykonywanej </w:t>
      </w:r>
      <w:r w:rsidRPr="007D279F">
        <w:rPr>
          <w:rFonts w:ascii="Century Gothic" w:hAnsi="Century Gothic"/>
          <w:color w:val="auto"/>
          <w:sz w:val="22"/>
          <w:szCs w:val="22"/>
        </w:rPr>
        <w:t xml:space="preserve">należy rozumieć usługę będącą w trakcie realizacji (aktualnie wykonywaną), której </w:t>
      </w:r>
      <w:r w:rsidRPr="007D279F">
        <w:rPr>
          <w:rFonts w:ascii="Century Gothic" w:hAnsi="Century Gothic"/>
          <w:bCs/>
          <w:color w:val="auto"/>
          <w:sz w:val="22"/>
          <w:szCs w:val="22"/>
        </w:rPr>
        <w:t xml:space="preserve">wykonana część </w:t>
      </w:r>
      <w:r w:rsidRPr="007D279F">
        <w:rPr>
          <w:rFonts w:ascii="Century Gothic" w:hAnsi="Century Gothic"/>
          <w:color w:val="auto"/>
          <w:sz w:val="22"/>
          <w:szCs w:val="22"/>
        </w:rPr>
        <w:t xml:space="preserve">wyniosła co </w:t>
      </w:r>
      <w:r w:rsidR="00250248" w:rsidRPr="007D279F">
        <w:rPr>
          <w:rFonts w:ascii="Century Gothic" w:hAnsi="Century Gothic"/>
          <w:color w:val="auto"/>
          <w:sz w:val="22"/>
          <w:szCs w:val="22"/>
        </w:rPr>
        <w:t xml:space="preserve">najmniej </w:t>
      </w:r>
      <w:r w:rsidR="00E024B9" w:rsidRPr="007D279F">
        <w:rPr>
          <w:rFonts w:ascii="Century Gothic" w:hAnsi="Century Gothic"/>
          <w:color w:val="auto"/>
          <w:sz w:val="22"/>
          <w:szCs w:val="22"/>
        </w:rPr>
        <w:t xml:space="preserve">      </w:t>
      </w:r>
      <w:r w:rsidR="00FF5C72">
        <w:rPr>
          <w:rFonts w:ascii="Century Gothic" w:hAnsi="Century Gothic"/>
          <w:color w:val="auto"/>
          <w:sz w:val="22"/>
          <w:szCs w:val="22"/>
        </w:rPr>
        <w:t>4</w:t>
      </w:r>
      <w:r w:rsidR="00250248" w:rsidRPr="007D279F">
        <w:rPr>
          <w:rFonts w:ascii="Century Gothic" w:hAnsi="Century Gothic"/>
          <w:color w:val="auto"/>
          <w:sz w:val="22"/>
          <w:szCs w:val="22"/>
        </w:rPr>
        <w:t xml:space="preserve">00 000,00 zł brutto. </w:t>
      </w:r>
    </w:p>
    <w:p w14:paraId="2DFCCBA3" w14:textId="046EC91F" w:rsidR="00724371" w:rsidRDefault="004D73FF" w:rsidP="0090780D">
      <w:pPr>
        <w:pStyle w:val="Default"/>
        <w:spacing w:line="288" w:lineRule="auto"/>
        <w:jc w:val="both"/>
        <w:rPr>
          <w:rFonts w:ascii="Century Gothic" w:hAnsi="Century Gothic"/>
          <w:b/>
          <w:color w:val="auto"/>
          <w:sz w:val="22"/>
          <w:szCs w:val="22"/>
        </w:rPr>
      </w:pPr>
      <w:r w:rsidRPr="007D279F">
        <w:rPr>
          <w:rFonts w:ascii="Century Gothic" w:hAnsi="Century Gothic"/>
          <w:color w:val="auto"/>
          <w:sz w:val="22"/>
          <w:szCs w:val="22"/>
        </w:rPr>
        <w:t xml:space="preserve">Nie dopuszcza się sumowania wartości kilku usług (umów) w celu osiągnięcia wartości minimalnej </w:t>
      </w:r>
      <w:r w:rsidR="00FF5C72">
        <w:rPr>
          <w:rFonts w:ascii="Century Gothic" w:hAnsi="Century Gothic"/>
          <w:color w:val="auto"/>
          <w:sz w:val="22"/>
          <w:szCs w:val="22"/>
        </w:rPr>
        <w:t>4</w:t>
      </w:r>
      <w:r w:rsidRPr="007D279F">
        <w:rPr>
          <w:rFonts w:ascii="Century Gothic" w:hAnsi="Century Gothic"/>
          <w:color w:val="auto"/>
          <w:sz w:val="22"/>
          <w:szCs w:val="22"/>
        </w:rPr>
        <w:t>00 000,00 zł brutto</w:t>
      </w:r>
      <w:r w:rsidRPr="007D279F">
        <w:rPr>
          <w:rFonts w:ascii="Century Gothic" w:hAnsi="Century Gothic"/>
          <w:b/>
          <w:color w:val="auto"/>
          <w:sz w:val="22"/>
          <w:szCs w:val="22"/>
        </w:rPr>
        <w:t>.</w:t>
      </w:r>
    </w:p>
    <w:p w14:paraId="561D00F5" w14:textId="77777777" w:rsidR="00250248" w:rsidRPr="00BB36D4" w:rsidRDefault="00250248" w:rsidP="0090780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b/>
        </w:rPr>
      </w:pPr>
    </w:p>
    <w:p w14:paraId="31BAA18E" w14:textId="77777777" w:rsidR="00AB5F52" w:rsidRPr="00BB36D4" w:rsidRDefault="00AB5F52" w:rsidP="0090780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b/>
          <w:bCs/>
        </w:rPr>
      </w:pPr>
      <w:r w:rsidRPr="00BB36D4">
        <w:rPr>
          <w:rFonts w:ascii="Century Gothic" w:hAnsi="Century Gothic"/>
          <w:b/>
        </w:rPr>
        <w:lastRenderedPageBreak/>
        <w:t xml:space="preserve">W związku z tak opisanym warunkiem Zamawiający </w:t>
      </w:r>
      <w:r w:rsidR="00250248" w:rsidRPr="00BB36D4">
        <w:rPr>
          <w:rFonts w:ascii="Century Gothic" w:hAnsi="Century Gothic"/>
          <w:b/>
        </w:rPr>
        <w:t xml:space="preserve">informuje, że w </w:t>
      </w:r>
      <w:r w:rsidRPr="00BB36D4">
        <w:rPr>
          <w:rFonts w:ascii="Century Gothic" w:hAnsi="Century Gothic"/>
          <w:b/>
          <w:bCs/>
        </w:rPr>
        <w:t>przypadku Wykonawców wspólnie ubiegających się o udzielenie zamówienia, jak i w przypadku pozostałych Wykonawców, warunek powyższy musi zostać w całości spełniony przez jeden podmiot. Zamawiający nie dopuszcza łączenia potencjałów wielu podmiotów w celu wykazania doświadczenia w tym warunku.</w:t>
      </w:r>
    </w:p>
    <w:p w14:paraId="5FD4834D" w14:textId="77777777" w:rsidR="001E63A6" w:rsidRPr="00E21383" w:rsidRDefault="001E63A6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0163F31B" w14:textId="77777777" w:rsidR="00FF5C72" w:rsidRDefault="00E024B9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b/>
          <w:color w:val="auto"/>
          <w:sz w:val="22"/>
          <w:szCs w:val="22"/>
        </w:rPr>
        <w:t xml:space="preserve">Pytanie </w:t>
      </w:r>
      <w:r w:rsidR="001E63A6" w:rsidRPr="00FF5C72">
        <w:rPr>
          <w:rFonts w:ascii="Century Gothic" w:hAnsi="Century Gothic"/>
          <w:b/>
          <w:color w:val="auto"/>
          <w:sz w:val="22"/>
          <w:szCs w:val="22"/>
        </w:rPr>
        <w:t>5</w:t>
      </w:r>
      <w:r w:rsidR="001E63A6" w:rsidRPr="00FF5C72">
        <w:rPr>
          <w:rFonts w:ascii="Century Gothic" w:hAnsi="Century Gothic"/>
          <w:color w:val="auto"/>
          <w:sz w:val="22"/>
          <w:szCs w:val="22"/>
        </w:rPr>
        <w:t xml:space="preserve">. </w:t>
      </w:r>
      <w:r w:rsidR="001C05CC" w:rsidRPr="00FF5C72">
        <w:rPr>
          <w:rFonts w:ascii="Century Gothic" w:hAnsi="Century Gothic"/>
          <w:sz w:val="22"/>
          <w:szCs w:val="22"/>
        </w:rPr>
        <w:t xml:space="preserve">W związku z brakiem w treści SWZ postanowień odpowiadających treści art. 436 pkt. 4, wnioskujemy o wprowadzenie do treści SIWZ postanowień odpowiadających treści art. 436 pkt. 4, </w:t>
      </w:r>
      <w:proofErr w:type="spellStart"/>
      <w:r w:rsidR="001C05CC" w:rsidRPr="00FF5C72">
        <w:rPr>
          <w:rFonts w:ascii="Century Gothic" w:hAnsi="Century Gothic"/>
          <w:sz w:val="22"/>
          <w:szCs w:val="22"/>
        </w:rPr>
        <w:t>Pzp</w:t>
      </w:r>
      <w:proofErr w:type="spellEnd"/>
      <w:r w:rsidR="001C05CC" w:rsidRPr="00FF5C72">
        <w:rPr>
          <w:rFonts w:ascii="Century Gothic" w:hAnsi="Century Gothic"/>
          <w:sz w:val="22"/>
          <w:szCs w:val="22"/>
        </w:rPr>
        <w:t xml:space="preserve"> oraz zgodnie z brzmieniem art. 135 ustawy z dnia 4 października 2018 r. o pracowniczych planach kapitałowych (Dz.U. z 2018 r. poz. 2215) postanowień odnoszących się do procedury wprowadzania przedmiotowych zmian w łączącej strony umowie tj. postanowień w brzmieniu: Niniejsza umowa ulegnie zmianie w zakresie należnego wykonawcy wynagrodzenia, w przypadku zmiany: </w:t>
      </w:r>
    </w:p>
    <w:p w14:paraId="19C722F3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a. stawki podatku od towarów i usług, </w:t>
      </w:r>
    </w:p>
    <w:p w14:paraId="64FF8194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b. wysokości minimalnego wynagrodzenia za pracę albo wysokości minimalnej stawki godzinowej, ustalonych na podstawie przepisów ustawy z dnia 10 października 2002 r. o minimalnym wynagrodzeniu za pracę,. </w:t>
      </w:r>
    </w:p>
    <w:p w14:paraId="16F3B138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c. zasad podlegania ubezpieczeniom społecznym lub ubezpieczeniu zdrowotnemu lub wysokości stawki składki na ubezpieczenia społeczne lub zdrowotne, </w:t>
      </w:r>
    </w:p>
    <w:p w14:paraId="10E6A21A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d. zasad gromadzenia i wysokości wpłat do pracowniczych planów kapitałowych, o których mowa w ustawie z dnia 4 października 2018 r. o pracowniczych planach kapitałowych, </w:t>
      </w:r>
    </w:p>
    <w:p w14:paraId="15F1266A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- jeżeli zmiany te będą miały wpływ na koszty wykonania zamówienia przez wykonawcę. Każda ze stron umowy, w przypadku zaistnienia zdarzeń o jakich mowa w art. 436 pkt. 4, ustawy </w:t>
      </w:r>
      <w:proofErr w:type="spellStart"/>
      <w:r w:rsidRPr="00FF5C72">
        <w:rPr>
          <w:rFonts w:ascii="Century Gothic" w:hAnsi="Century Gothic"/>
          <w:sz w:val="22"/>
          <w:szCs w:val="22"/>
        </w:rPr>
        <w:t>Pzp</w:t>
      </w:r>
      <w:proofErr w:type="spellEnd"/>
      <w:r w:rsidRPr="00FF5C72">
        <w:rPr>
          <w:rFonts w:ascii="Century Gothic" w:hAnsi="Century Gothic"/>
          <w:sz w:val="22"/>
          <w:szCs w:val="22"/>
        </w:rPr>
        <w:t xml:space="preserve"> w terminie 3 miesięcy od dnia opublikowana przepisów będących podstawą zmiany, może zwrócić się do drugiej strony z pisemnym wnioskiem o przeprowadzenie negocjacji dotyczących zawarcia porozumienia w sprawie odpowiedniej zmiany wynagrodzenia. W przypadku zaistnienia zdarzeń o jakich mowa w art. 436 pkt. 4, ustawy </w:t>
      </w:r>
      <w:proofErr w:type="spellStart"/>
      <w:r w:rsidRPr="00FF5C72">
        <w:rPr>
          <w:rFonts w:ascii="Century Gothic" w:hAnsi="Century Gothic"/>
          <w:sz w:val="22"/>
          <w:szCs w:val="22"/>
        </w:rPr>
        <w:t>Pzp</w:t>
      </w:r>
      <w:proofErr w:type="spellEnd"/>
      <w:r w:rsidRPr="00FF5C72">
        <w:rPr>
          <w:rFonts w:ascii="Century Gothic" w:hAnsi="Century Gothic"/>
          <w:sz w:val="22"/>
          <w:szCs w:val="22"/>
        </w:rPr>
        <w:t xml:space="preserve"> każda ze stron może, po dokonaniu wpłat do pracowniczych planów kapitałowych za pierwszy miesiąc rozliczeniowy, zwrócić się do drugiej strony z pisemnym wnioskiem o przeprowadzenie negocjacji dotyczących zawarcia porozumienia w sprawie odpowiedniej zmiany wynagrodzenia. Przez odpowiednią zmianę wynagrodzenia, o której mowa w ust. 2, należy rozumieć: </w:t>
      </w:r>
    </w:p>
    <w:p w14:paraId="51E93D36" w14:textId="7BDE3055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a) zmianę stawki podatku od towarów i usług, </w:t>
      </w:r>
    </w:p>
    <w:p w14:paraId="53AF62D5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b) sumę wzrostu kosztów wykonawcy zamówienia publicznego wynikających z podwyższenia dotychczasowej kwoty minimalnego wynagrodzenia, przysługującego odpowiednio osobom biorącym udział w realizacji części pozostałej do wykonania umowy w sprawie zamówienia, </w:t>
      </w:r>
    </w:p>
    <w:p w14:paraId="712B5068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c) sumę wzrostu kosztów wykonawcy zamówienia publicznego wynikających z podwyższenia dotychczasowej kwoty minimalnej stawki godzinowej wynagrodzenia, </w:t>
      </w:r>
      <w:r w:rsidRPr="00FF5C72">
        <w:rPr>
          <w:rFonts w:ascii="Century Gothic" w:hAnsi="Century Gothic"/>
          <w:sz w:val="22"/>
          <w:szCs w:val="22"/>
        </w:rPr>
        <w:lastRenderedPageBreak/>
        <w:t xml:space="preserve">przysługującego odpowiednio osobom biorącym udział w realizacji części pozostałej do wykonania umowy w sprawie zamówienia, </w:t>
      </w:r>
    </w:p>
    <w:p w14:paraId="33803770" w14:textId="77777777" w:rsid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d) sumę wzrostu kosztów wykonawcy zamówienia publicznego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wynikających z zmiany zasad podlegania ubezpieczeniom społecznym lub ubezpieczeniom zdrowotnym lub wysokości stawki na ubezpieczenia społeczne lub zdrowotne przysługującego odpowiednio biorącym udział w realizacji części zamówienia pozostałej do wykonania, przy założeniu braku zmiany wynagrodzenia neto tych osób, </w:t>
      </w:r>
    </w:p>
    <w:p w14:paraId="4E06F1A6" w14:textId="25B88983" w:rsidR="001C05CC" w:rsidRPr="00FF5C72" w:rsidRDefault="001C05CC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F5C72">
        <w:rPr>
          <w:rFonts w:ascii="Century Gothic" w:hAnsi="Century Gothic"/>
          <w:sz w:val="22"/>
          <w:szCs w:val="22"/>
        </w:rPr>
        <w:t xml:space="preserve">e) sumę wzrostu kosztów wykonawcy zamówienia publicznego z tytułu zatrudnienia osób na podstawie umowy o pracę lub innej umowy cywilnoprawnej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cywilnoprawnej, zwartej przez Wykonawcę z osobą fizyczna nieprowadzącą działalności gospodarczej, wynikających z zmiany zasad gromadzenia i wysokości wpłat do pracowniczych planów kapitałowych, o których mowa w ustawie z dnia 4 października 2018 r. o pracowniczych planach kapitałowych, przysługującego odpowiednio biorącym udział w realizacji części zamówienia pozostałej do wykonania, przy założeniu braku zmiany wynagrodzenia neto tych osób. Zmiana wynagrodzenia wykonawcy o jakiej mowa w ustępie </w:t>
      </w:r>
      <w:r w:rsidRPr="00FF5C72">
        <w:rPr>
          <w:rFonts w:ascii="Century Gothic" w:hAnsi="Century Gothic"/>
          <w:sz w:val="22"/>
          <w:szCs w:val="22"/>
        </w:rPr>
        <w:t xml:space="preserve">     </w:t>
      </w:r>
      <w:r w:rsidRPr="00FF5C72">
        <w:rPr>
          <w:rFonts w:ascii="Century Gothic" w:hAnsi="Century Gothic"/>
          <w:sz w:val="22"/>
          <w:szCs w:val="22"/>
        </w:rPr>
        <w:t xml:space="preserve">1 -3 niniejszego paragrafu dokonuje się w zakresie wynagrodzenia należnego wykonawcy, poczynając od dnia wejścia w życie przepisów prawa będących podstawą zmiany: a) wysokości podatku od towarów i usług, b) wysokości kwoty minimalnego wynagrodzenia, c) wysokości kwoty minimalnej stawki godzinowej wynagrodzenia, d) zasad podlegania ubezpieczeniom społecznym lub ubezpieczeniom zdrowotnym, e) wysokości stawki na ubezpieczenia społeczne lub zdrowotne, f) zasad gromadzenia i wysokości wpłat do pracowniczych planów kapitałowych, o których mowa w ustawie z dnia 4 października 2018 r. o pracowniczych planach kapitałowych. W przypadku zmiany, o której mowa w ustępie 4 lit „a” niniejszego paragrafu, wartość netto wynagrodzenia Wykonawcy nie zmieni się, a określona w umowie (aneksie) wartość brutto wynagrodzenia zostanie wyliczona na podstawie nowych przepisów. W przypadku zmiany, o której mowa w ustępie 4 lit „b-f” niniejszego paragrafu Wykonawca przedstawia: a) zamawiającemu kalkulację wzrostu kosztów wyliczenia odpowiedniej zmiany wynagrodzenia, b) na wniosek zamawiającego, na potwierdzenie kalkulacji o której mowa w niniejszym punkcie lit. „a”, aktualne umowy o pracę lub umowy cywilnoprawne zawarte z osobami biorącymi udział w realizacji zamówienia, c) na wniosek zamawiającego skierowany nie wcześniej niż w terminie 30 dni od daty wejścia w życie przepisów będących </w:t>
      </w:r>
      <w:r w:rsidRPr="00FF5C72">
        <w:rPr>
          <w:rFonts w:ascii="Century Gothic" w:hAnsi="Century Gothic"/>
          <w:sz w:val="22"/>
          <w:szCs w:val="22"/>
        </w:rPr>
        <w:lastRenderedPageBreak/>
        <w:t>podstawą wprowadzenia zmiany o jakiej mowa w niniejszym punkcie lit. „a”, odpowiednio umowy o pracę/ aneksy do umowy o pracę bądź umowy cywilnoprawne/ aneksy do umów cywilnoprawnych - potwierdzające odpowiednią zmianę wynagrodzenia. Nie</w:t>
      </w:r>
      <w:r w:rsidR="00FF5C72">
        <w:rPr>
          <w:rFonts w:ascii="Century Gothic" w:hAnsi="Century Gothic"/>
          <w:sz w:val="22"/>
          <w:szCs w:val="22"/>
        </w:rPr>
        <w:t xml:space="preserve"> </w:t>
      </w:r>
      <w:r w:rsidRPr="00FF5C72">
        <w:rPr>
          <w:rFonts w:ascii="Century Gothic" w:hAnsi="Century Gothic"/>
          <w:sz w:val="22"/>
          <w:szCs w:val="22"/>
        </w:rPr>
        <w:t xml:space="preserve">zawarcie w terminie nie dłuższym niż miesiąc od dnia złożenia wniosku, o którym mowa w ust. 2, porozumienia w sprawie odpowiedniej zmiany wynagrodzenia, uprawnia każdą ze stron do rozwiązania umowy z zachowaniem dwumiesięcznego okresu wypowiedzenia. Rozwiązanie umowy nie stanowi nienależytego wykonania lub niewykonania umowy. Oświadczenie o rozwiązaniu umowy z zachowaniem dwumiesięcznego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2, do drugiej strony. Zmiany o których mowa wymagają zawarcia aneksu/ porozumienia do umowy o zamówienie publiczne.” Uzasadnienie W dniu 28 listopada 2018 r. w Dzienniku Ustaw została opublikowana ustawa z dnia 4 października 2018 r. o pracowniczych planach kapitałowych (Dz. U. z 2018 poz. 2215, dalej ustawa o PPK). Zgodnie z treścią art. 120 przywołanej powyżej ustawy, na jej mocy ulega zmianie treść ustawy z dnia 29 stycznia 2004 r. prawo zamówień publicznych ( </w:t>
      </w:r>
      <w:proofErr w:type="spellStart"/>
      <w:r w:rsidRPr="00FF5C72">
        <w:rPr>
          <w:rFonts w:ascii="Century Gothic" w:hAnsi="Century Gothic"/>
          <w:sz w:val="22"/>
          <w:szCs w:val="22"/>
        </w:rPr>
        <w:t>t.j</w:t>
      </w:r>
      <w:proofErr w:type="spellEnd"/>
      <w:r w:rsidRPr="00FF5C72">
        <w:rPr>
          <w:rFonts w:ascii="Century Gothic" w:hAnsi="Century Gothic"/>
          <w:sz w:val="22"/>
          <w:szCs w:val="22"/>
        </w:rPr>
        <w:t xml:space="preserve">. Dz.U. z 2018 poz. 1986 z późn.zm.) poprzez wprowadzenie następujących zmian „w art. 142 w ust. 5 po pkt 3 dodaje się przecinek oraz pkt 4 w brzmieniu: „4) zasad gromadzenia i wysokości wpłat do pracowniczych planów kapitałowych, o których mowa w ustawie z dnia 4 października 2018 r. o pracowniczych planach kapitałowych”. Przeniesienie do treści wzoru umowy treści art. 436 pkt. 4, </w:t>
      </w:r>
      <w:proofErr w:type="spellStart"/>
      <w:r w:rsidRPr="00FF5C72">
        <w:rPr>
          <w:rFonts w:ascii="Century Gothic" w:hAnsi="Century Gothic"/>
          <w:sz w:val="22"/>
          <w:szCs w:val="22"/>
        </w:rPr>
        <w:t>Pzp</w:t>
      </w:r>
      <w:proofErr w:type="spellEnd"/>
      <w:r w:rsidRPr="00FF5C72">
        <w:rPr>
          <w:rFonts w:ascii="Century Gothic" w:hAnsi="Century Gothic"/>
          <w:sz w:val="22"/>
          <w:szCs w:val="22"/>
        </w:rPr>
        <w:t xml:space="preserve"> nie można uznać za wystarczające. Zgodnie z brzmieniem art. 135 ustawy o PPK uregulowane zostały również aspekt procedury występowania o zamianę wysokości wynagrodzenia wykonawcy. Pozostawia bowiem szereg problemów praktycznych odnoszących się do rzeczywistej możliwości skorzystania przez Wykonawcę z przywołanego powyżej uregulowania. Na Zamawiającym ciąży obowiązek jasnego, precyzyjnego wyczerpującego określenia SIWZ, którego jednym z elementów jest wzór umowy. Mając powyższe na uwadze zasadnym jest uzupełnienie postanowień wzoru umowy o propozycje zgłoszone przez Wykonawcę a odnoszące się do trybu wprowadzenia zmiany wynagrodzenia w momencie jej zaistnienia</w:t>
      </w:r>
    </w:p>
    <w:p w14:paraId="04F3F180" w14:textId="4A03EE2D" w:rsidR="009D72E0" w:rsidRPr="00FF5C72" w:rsidRDefault="005016E0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5016E0">
        <w:rPr>
          <w:rFonts w:ascii="Century Gothic" w:hAnsi="Century Gothic"/>
          <w:b/>
          <w:bCs/>
          <w:sz w:val="22"/>
          <w:szCs w:val="22"/>
        </w:rPr>
        <w:t>Odpowiedź: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141E1" w:rsidRPr="00FF5C72">
        <w:rPr>
          <w:rFonts w:ascii="Century Gothic" w:hAnsi="Century Gothic"/>
          <w:sz w:val="22"/>
          <w:szCs w:val="22"/>
        </w:rPr>
        <w:t xml:space="preserve">Zamawiający </w:t>
      </w:r>
      <w:r w:rsidR="003E401F" w:rsidRPr="00FF5C72">
        <w:rPr>
          <w:rFonts w:ascii="Century Gothic" w:hAnsi="Century Gothic"/>
          <w:color w:val="auto"/>
          <w:sz w:val="22"/>
          <w:szCs w:val="22"/>
        </w:rPr>
        <w:t>postanowie</w:t>
      </w:r>
      <w:r w:rsidR="00FF5C72" w:rsidRPr="00FF5C72">
        <w:rPr>
          <w:rFonts w:ascii="Century Gothic" w:hAnsi="Century Gothic"/>
          <w:color w:val="auto"/>
          <w:sz w:val="22"/>
          <w:szCs w:val="22"/>
        </w:rPr>
        <w:t>nia</w:t>
      </w:r>
      <w:r w:rsidR="003E401F" w:rsidRPr="00FF5C72">
        <w:rPr>
          <w:rFonts w:ascii="Century Gothic" w:hAnsi="Century Gothic"/>
          <w:color w:val="auto"/>
          <w:sz w:val="22"/>
          <w:szCs w:val="22"/>
        </w:rPr>
        <w:t xml:space="preserve"> dotycząc</w:t>
      </w:r>
      <w:r w:rsidR="00FF5C72" w:rsidRPr="00FF5C72">
        <w:rPr>
          <w:rFonts w:ascii="Century Gothic" w:hAnsi="Century Gothic"/>
          <w:color w:val="auto"/>
          <w:sz w:val="22"/>
          <w:szCs w:val="22"/>
        </w:rPr>
        <w:t>e</w:t>
      </w:r>
      <w:r w:rsidR="00E024B9" w:rsidRPr="00FF5C72">
        <w:rPr>
          <w:rFonts w:ascii="Century Gothic" w:hAnsi="Century Gothic"/>
          <w:color w:val="auto"/>
          <w:sz w:val="22"/>
          <w:szCs w:val="22"/>
        </w:rPr>
        <w:t xml:space="preserve"> zmian </w:t>
      </w:r>
      <w:r w:rsidR="006141E1" w:rsidRPr="00FF5C72">
        <w:rPr>
          <w:rFonts w:ascii="Century Gothic" w:hAnsi="Century Gothic"/>
          <w:color w:val="auto"/>
          <w:sz w:val="22"/>
          <w:szCs w:val="22"/>
        </w:rPr>
        <w:t xml:space="preserve">wysokości wynagrodzenia </w:t>
      </w:r>
      <w:r w:rsidR="00FF5C72" w:rsidRPr="00FF5C72">
        <w:rPr>
          <w:rFonts w:ascii="Century Gothic" w:hAnsi="Century Gothic"/>
          <w:color w:val="auto"/>
          <w:sz w:val="22"/>
          <w:szCs w:val="22"/>
        </w:rPr>
        <w:t>opisał w załączonym do SWZ  projekcie umowy w paragrafie 14.</w:t>
      </w:r>
      <w:r w:rsidR="00FF5C72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1D84714D" w14:textId="77777777" w:rsidR="00E024B9" w:rsidRPr="00FF5C72" w:rsidRDefault="00E024B9" w:rsidP="0090780D">
      <w:pPr>
        <w:pStyle w:val="Default"/>
        <w:spacing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14:paraId="162A5022" w14:textId="0C6173B2" w:rsidR="007D279F" w:rsidRPr="005016E0" w:rsidRDefault="003E401F" w:rsidP="0090780D">
      <w:pPr>
        <w:pStyle w:val="Default"/>
        <w:spacing w:line="288" w:lineRule="auto"/>
        <w:jc w:val="both"/>
        <w:rPr>
          <w:rFonts w:ascii="Century Gothic" w:hAnsi="Century Gothic"/>
          <w:b/>
          <w:color w:val="auto"/>
          <w:sz w:val="22"/>
          <w:szCs w:val="22"/>
        </w:rPr>
      </w:pPr>
      <w:r w:rsidRPr="00FF5C72">
        <w:rPr>
          <w:rFonts w:ascii="Century Gothic" w:hAnsi="Century Gothic"/>
          <w:b/>
          <w:color w:val="auto"/>
          <w:sz w:val="22"/>
          <w:szCs w:val="22"/>
        </w:rPr>
        <w:t xml:space="preserve">Pytanie </w:t>
      </w:r>
      <w:r w:rsidR="001E63A6" w:rsidRPr="00FF5C72">
        <w:rPr>
          <w:rFonts w:ascii="Century Gothic" w:hAnsi="Century Gothic"/>
          <w:b/>
          <w:color w:val="auto"/>
          <w:sz w:val="22"/>
          <w:szCs w:val="22"/>
        </w:rPr>
        <w:t xml:space="preserve">6. </w:t>
      </w:r>
      <w:r w:rsidR="007D279F" w:rsidRPr="00FF5C72">
        <w:rPr>
          <w:rFonts w:ascii="Century Gothic" w:hAnsi="Century Gothic"/>
          <w:sz w:val="22"/>
          <w:szCs w:val="22"/>
        </w:rPr>
        <w:t>Na</w:t>
      </w:r>
      <w:r w:rsidR="007D279F" w:rsidRPr="00FF5C72">
        <w:rPr>
          <w:rFonts w:ascii="Century Gothic" w:hAnsi="Century Gothic"/>
          <w:sz w:val="22"/>
          <w:szCs w:val="22"/>
        </w:rPr>
        <w:t xml:space="preserve"> podstawie art. 10 ust. 1 ustawy z dnia 6 września 2001 roku o dostępie do informacji publicznej (tekst jednolity Dz.U. 2014 poz. 782) zwracam się z wnioskiem o </w:t>
      </w:r>
      <w:r w:rsidR="007D279F" w:rsidRPr="005016E0">
        <w:rPr>
          <w:rFonts w:ascii="Century Gothic" w:hAnsi="Century Gothic"/>
          <w:sz w:val="22"/>
          <w:szCs w:val="22"/>
        </w:rPr>
        <w:t xml:space="preserve">wyznaczenie wizji lokalnej dnia 28.02.2022 r. o godzinie 10:00, podczas której będzie możliwe obejrzenie miejsca wykonywania usługi dotyczącej przetargu 3/2022/sprzątanie oraz o udostępnienie i umożliwienie dokonania odpisu w oparciu o techniki zapisowe (w szczególności fotografie) umowy z obecnym Wykonawcą świadczącym usługę sprzątania pomieszczeń w obiektach Uniwersyteckiego Centrum </w:t>
      </w:r>
      <w:r w:rsidR="007D279F" w:rsidRPr="005016E0">
        <w:rPr>
          <w:rFonts w:ascii="Century Gothic" w:hAnsi="Century Gothic"/>
          <w:sz w:val="22"/>
          <w:szCs w:val="22"/>
        </w:rPr>
        <w:lastRenderedPageBreak/>
        <w:t xml:space="preserve">Stomatologicznego </w:t>
      </w:r>
      <w:proofErr w:type="spellStart"/>
      <w:r w:rsidR="007D279F" w:rsidRPr="005016E0">
        <w:rPr>
          <w:rFonts w:ascii="Century Gothic" w:hAnsi="Century Gothic"/>
          <w:sz w:val="22"/>
          <w:szCs w:val="22"/>
        </w:rPr>
        <w:t>GUMed</w:t>
      </w:r>
      <w:proofErr w:type="spellEnd"/>
      <w:r w:rsidR="007D279F" w:rsidRPr="005016E0">
        <w:rPr>
          <w:rFonts w:ascii="Century Gothic" w:hAnsi="Century Gothic"/>
          <w:sz w:val="22"/>
          <w:szCs w:val="22"/>
        </w:rPr>
        <w:t xml:space="preserve"> Sp. z o.o. zlokalizowanych w Gdańsku przy ul. Dębowej 1a, ul. E. Orzeszkowej 18, al. Zwycięstwa 42c wraz z wszystkimi załącznikami i aneksami naszemu przedstawicielowi. </w:t>
      </w:r>
    </w:p>
    <w:p w14:paraId="00CE632E" w14:textId="0A143DCF" w:rsidR="00FF5C72" w:rsidRPr="005016E0" w:rsidRDefault="005016E0" w:rsidP="0090780D">
      <w:pPr>
        <w:pStyle w:val="Default"/>
        <w:spacing w:line="288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5016E0">
        <w:rPr>
          <w:rFonts w:ascii="Century Gothic" w:hAnsi="Century Gothic"/>
          <w:b/>
          <w:bCs/>
          <w:sz w:val="22"/>
          <w:szCs w:val="22"/>
        </w:rPr>
        <w:t>Odpowiedź:</w:t>
      </w:r>
      <w:r w:rsidRPr="005016E0">
        <w:rPr>
          <w:rFonts w:ascii="Century Gothic" w:hAnsi="Century Gothic"/>
          <w:sz w:val="22"/>
          <w:szCs w:val="22"/>
        </w:rPr>
        <w:t xml:space="preserve"> </w:t>
      </w:r>
      <w:r w:rsidR="00FF5C72" w:rsidRPr="005016E0">
        <w:rPr>
          <w:rFonts w:ascii="Century Gothic" w:hAnsi="Century Gothic"/>
          <w:sz w:val="22"/>
          <w:szCs w:val="22"/>
        </w:rPr>
        <w:t xml:space="preserve">Zamawiający informuje, że wyznacza termin wizji lokalnej dla wszystkich zainteresowanych Wykonawców na dzień </w:t>
      </w:r>
      <w:r w:rsidRPr="005016E0">
        <w:rPr>
          <w:rFonts w:ascii="Century Gothic" w:hAnsi="Century Gothic"/>
          <w:sz w:val="22"/>
          <w:szCs w:val="22"/>
        </w:rPr>
        <w:t>28.02.2022r,</w:t>
      </w:r>
      <w:r w:rsidR="00FF5C72" w:rsidRPr="005016E0">
        <w:rPr>
          <w:rFonts w:ascii="Century Gothic" w:hAnsi="Century Gothic"/>
          <w:sz w:val="22"/>
          <w:szCs w:val="22"/>
        </w:rPr>
        <w:t>. o godz. 1</w:t>
      </w:r>
      <w:r w:rsidR="0090780D">
        <w:rPr>
          <w:rFonts w:ascii="Century Gothic" w:hAnsi="Century Gothic"/>
          <w:sz w:val="22"/>
          <w:szCs w:val="22"/>
        </w:rPr>
        <w:t>0</w:t>
      </w:r>
      <w:r w:rsidR="00FF5C72" w:rsidRPr="005016E0">
        <w:rPr>
          <w:rFonts w:ascii="Century Gothic" w:hAnsi="Century Gothic"/>
          <w:sz w:val="22"/>
          <w:szCs w:val="22"/>
        </w:rPr>
        <w:t xml:space="preserve">:00. Zbiórka w budynku Uniwersyteckiego Centrum Stomatologicznego </w:t>
      </w:r>
      <w:proofErr w:type="spellStart"/>
      <w:r w:rsidR="00FF5C72" w:rsidRPr="005016E0">
        <w:rPr>
          <w:rFonts w:ascii="Century Gothic" w:hAnsi="Century Gothic"/>
          <w:sz w:val="22"/>
          <w:szCs w:val="22"/>
        </w:rPr>
        <w:t>GUMed</w:t>
      </w:r>
      <w:proofErr w:type="spellEnd"/>
      <w:r w:rsidR="00FF5C72" w:rsidRPr="005016E0">
        <w:rPr>
          <w:rFonts w:ascii="Century Gothic" w:hAnsi="Century Gothic"/>
          <w:sz w:val="22"/>
          <w:szCs w:val="22"/>
        </w:rPr>
        <w:t>, Gdańsk, ul. Dębowa 1a</w:t>
      </w:r>
      <w:r w:rsidR="00FF5C72" w:rsidRPr="005016E0">
        <w:rPr>
          <w:rFonts w:ascii="Century Gothic" w:eastAsia="Times New Roman" w:hAnsi="Century Gothic"/>
          <w:sz w:val="22"/>
          <w:szCs w:val="22"/>
        </w:rPr>
        <w:t xml:space="preserve">. </w:t>
      </w:r>
    </w:p>
    <w:p w14:paraId="08BF8573" w14:textId="0798B098" w:rsidR="00FF5C72" w:rsidRPr="005016E0" w:rsidRDefault="00FF5C72" w:rsidP="0090780D">
      <w:pPr>
        <w:pStyle w:val="Default"/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5016E0">
        <w:rPr>
          <w:rFonts w:ascii="Century Gothic" w:hAnsi="Century Gothic"/>
          <w:sz w:val="22"/>
          <w:szCs w:val="22"/>
        </w:rPr>
        <w:t xml:space="preserve">Wizja odbędzie się z udziałem przedstawicieli Zamawiającego - </w:t>
      </w:r>
      <w:r w:rsidRPr="005016E0">
        <w:rPr>
          <w:rFonts w:ascii="Century Gothic" w:hAnsi="Century Gothic"/>
          <w:b/>
          <w:sz w:val="22"/>
          <w:szCs w:val="22"/>
        </w:rPr>
        <w:t>numer tel. 58 727 05 85</w:t>
      </w:r>
      <w:r w:rsidR="005016E0" w:rsidRPr="005016E0">
        <w:rPr>
          <w:rFonts w:ascii="Century Gothic" w:hAnsi="Century Gothic"/>
          <w:b/>
          <w:sz w:val="22"/>
          <w:szCs w:val="22"/>
        </w:rPr>
        <w:t>.</w:t>
      </w:r>
    </w:p>
    <w:p w14:paraId="6BADF4D1" w14:textId="3476B2AB" w:rsidR="005016E0" w:rsidRPr="005016E0" w:rsidRDefault="005016E0" w:rsidP="0090780D">
      <w:pPr>
        <w:pStyle w:val="Default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5016E0">
        <w:rPr>
          <w:rFonts w:ascii="Century Gothic" w:hAnsi="Century Gothic"/>
          <w:bCs/>
          <w:sz w:val="22"/>
          <w:szCs w:val="22"/>
        </w:rPr>
        <w:t>Natomiast wgląd i udost</w:t>
      </w:r>
      <w:r>
        <w:rPr>
          <w:rFonts w:ascii="Century Gothic" w:hAnsi="Century Gothic"/>
          <w:bCs/>
          <w:sz w:val="22"/>
          <w:szCs w:val="22"/>
        </w:rPr>
        <w:t>ę</w:t>
      </w:r>
      <w:r w:rsidRPr="005016E0">
        <w:rPr>
          <w:rFonts w:ascii="Century Gothic" w:hAnsi="Century Gothic"/>
          <w:bCs/>
          <w:sz w:val="22"/>
          <w:szCs w:val="22"/>
        </w:rPr>
        <w:t>pnienie dokumentów o których mowa w pytaniu</w:t>
      </w:r>
      <w:r>
        <w:rPr>
          <w:rFonts w:ascii="Century Gothic" w:hAnsi="Century Gothic"/>
          <w:bCs/>
          <w:sz w:val="22"/>
          <w:szCs w:val="22"/>
        </w:rPr>
        <w:t>,</w:t>
      </w:r>
      <w:r w:rsidRPr="005016E0">
        <w:rPr>
          <w:rFonts w:ascii="Century Gothic" w:hAnsi="Century Gothic"/>
          <w:bCs/>
          <w:sz w:val="22"/>
          <w:szCs w:val="22"/>
        </w:rPr>
        <w:t xml:space="preserve"> nastąpi zgodnie z</w:t>
      </w:r>
      <w:r w:rsidRPr="005016E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Ustawą</w:t>
      </w:r>
      <w:r w:rsidRPr="005016E0">
        <w:rPr>
          <w:rFonts w:ascii="Century Gothic" w:hAnsi="Century Gothic"/>
          <w:sz w:val="22"/>
          <w:szCs w:val="22"/>
        </w:rPr>
        <w:t xml:space="preserve"> z dnia 6 września 2001 r. o dostępie do informacji publicznej</w:t>
      </w:r>
      <w:r w:rsidRPr="005016E0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4A122C">
        <w:rPr>
          <w:rFonts w:ascii="Century Gothic" w:hAnsi="Century Gothic"/>
          <w:sz w:val="22"/>
          <w:szCs w:val="22"/>
        </w:rPr>
        <w:t xml:space="preserve">zgodnie </w:t>
      </w:r>
      <w:r>
        <w:rPr>
          <w:rFonts w:ascii="Century Gothic" w:hAnsi="Century Gothic"/>
          <w:sz w:val="22"/>
          <w:szCs w:val="22"/>
        </w:rPr>
        <w:t>a</w:t>
      </w:r>
      <w:r w:rsidRPr="005016E0">
        <w:rPr>
          <w:rFonts w:ascii="Century Gothic" w:hAnsi="Century Gothic"/>
          <w:sz w:val="22"/>
          <w:szCs w:val="22"/>
        </w:rPr>
        <w:t>rt. 13. 1</w:t>
      </w:r>
      <w:r>
        <w:rPr>
          <w:rFonts w:ascii="Century Gothic" w:hAnsi="Century Gothic"/>
          <w:sz w:val="22"/>
          <w:szCs w:val="22"/>
        </w:rPr>
        <w:t>,</w:t>
      </w:r>
      <w:r w:rsidRPr="005016E0">
        <w:rPr>
          <w:rFonts w:ascii="Century Gothic" w:hAnsi="Century Gothic"/>
          <w:sz w:val="22"/>
          <w:szCs w:val="22"/>
        </w:rPr>
        <w:t xml:space="preserve"> z zastrzeżeniem ust. 2 i art. 15 ust. 2</w:t>
      </w:r>
      <w:r>
        <w:rPr>
          <w:rFonts w:ascii="Century Gothic" w:hAnsi="Century Gothic"/>
          <w:sz w:val="22"/>
          <w:szCs w:val="22"/>
        </w:rPr>
        <w:t xml:space="preserve"> - </w:t>
      </w:r>
      <w:r w:rsidRPr="005016E0">
        <w:rPr>
          <w:rFonts w:ascii="Century Gothic" w:hAnsi="Century Gothic"/>
          <w:sz w:val="22"/>
          <w:szCs w:val="22"/>
        </w:rPr>
        <w:t>bez zbędnej zwłoki, nie później jednak niż w terminie 14 dni od dnia złożenia wniosku</w:t>
      </w:r>
      <w:r w:rsidR="0090780D">
        <w:rPr>
          <w:rFonts w:ascii="Century Gothic" w:hAnsi="Century Gothic"/>
          <w:sz w:val="22"/>
          <w:szCs w:val="22"/>
        </w:rPr>
        <w:t>.</w:t>
      </w:r>
    </w:p>
    <w:p w14:paraId="6AD45140" w14:textId="77777777" w:rsidR="007D279F" w:rsidRPr="005016E0" w:rsidRDefault="007D279F" w:rsidP="007D279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CC92DDD" w14:textId="77777777" w:rsidR="005016E0" w:rsidRDefault="005016E0" w:rsidP="00157738">
      <w:pPr>
        <w:spacing w:after="0"/>
        <w:ind w:left="3540"/>
        <w:jc w:val="center"/>
        <w:rPr>
          <w:rFonts w:ascii="Century Gothic" w:hAnsi="Century Gothic"/>
        </w:rPr>
      </w:pPr>
    </w:p>
    <w:p w14:paraId="1E40C6E0" w14:textId="43CD0F1A" w:rsidR="00157738" w:rsidRPr="00157738" w:rsidRDefault="00157738" w:rsidP="00157738">
      <w:pPr>
        <w:spacing w:after="0"/>
        <w:ind w:left="3540"/>
        <w:jc w:val="center"/>
        <w:rPr>
          <w:rStyle w:val="Pogrubienie"/>
          <w:rFonts w:ascii="Century Gothic" w:hAnsi="Century Gothic"/>
          <w:b w:val="0"/>
          <w:i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/>
          <w:sz w:val="18"/>
          <w:szCs w:val="18"/>
        </w:rPr>
        <w:tab/>
      </w:r>
      <w:r w:rsidRPr="00157738">
        <w:rPr>
          <w:rFonts w:ascii="Century Gothic" w:hAnsi="Century Gothic" w:cs="Calibri"/>
          <w:i/>
          <w:sz w:val="18"/>
          <w:szCs w:val="18"/>
        </w:rPr>
        <w:t xml:space="preserve">                                                                 dr n. med. Mirosława </w:t>
      </w:r>
      <w:proofErr w:type="spellStart"/>
      <w:r w:rsidRPr="00157738">
        <w:rPr>
          <w:rFonts w:ascii="Century Gothic" w:hAnsi="Century Gothic" w:cs="Calibri"/>
          <w:i/>
          <w:sz w:val="18"/>
          <w:szCs w:val="18"/>
        </w:rPr>
        <w:t>Pellowska</w:t>
      </w:r>
      <w:proofErr w:type="spellEnd"/>
      <w:r w:rsidRPr="00157738">
        <w:rPr>
          <w:rFonts w:ascii="Century Gothic" w:hAnsi="Century Gothic" w:cs="Calibri"/>
          <w:i/>
          <w:sz w:val="18"/>
          <w:szCs w:val="18"/>
        </w:rPr>
        <w:t>-Piontek</w:t>
      </w:r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</w:t>
      </w:r>
    </w:p>
    <w:p w14:paraId="361A4AC1" w14:textId="77777777" w:rsidR="00157738" w:rsidRPr="00157738" w:rsidRDefault="00157738" w:rsidP="00157738">
      <w:pPr>
        <w:tabs>
          <w:tab w:val="left" w:pos="5172"/>
        </w:tabs>
        <w:spacing w:after="0"/>
        <w:rPr>
          <w:rStyle w:val="Pogrubienie"/>
          <w:rFonts w:ascii="Century Gothic" w:hAnsi="Century Gothic" w:cs="Calibri"/>
          <w:b w:val="0"/>
          <w:i/>
          <w:sz w:val="18"/>
          <w:szCs w:val="18"/>
        </w:rPr>
      </w:pPr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ab/>
        <w:t xml:space="preserve">                /-/</w:t>
      </w:r>
    </w:p>
    <w:p w14:paraId="29B29D9D" w14:textId="77777777" w:rsidR="00157738" w:rsidRPr="00157738" w:rsidRDefault="00157738" w:rsidP="00157738">
      <w:pPr>
        <w:spacing w:after="0"/>
        <w:jc w:val="center"/>
        <w:rPr>
          <w:rFonts w:cs="Times New Roman"/>
          <w:sz w:val="18"/>
          <w:szCs w:val="18"/>
        </w:rPr>
      </w:pPr>
      <w:r w:rsidRPr="0015773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                           Prezes Zarządu</w:t>
      </w:r>
    </w:p>
    <w:p w14:paraId="44555F29" w14:textId="77777777" w:rsidR="00191E6D" w:rsidRPr="00191E6D" w:rsidRDefault="00191E6D">
      <w:pPr>
        <w:jc w:val="both"/>
        <w:rPr>
          <w:rFonts w:ascii="Century Gothic" w:hAnsi="Century Gothic"/>
        </w:rPr>
      </w:pPr>
    </w:p>
    <w:sectPr w:rsidR="00191E6D" w:rsidRPr="0019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CBF2E"/>
    <w:multiLevelType w:val="hybridMultilevel"/>
    <w:tmpl w:val="4C38516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B73DAE"/>
    <w:multiLevelType w:val="hybridMultilevel"/>
    <w:tmpl w:val="C6866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B72F99"/>
    <w:multiLevelType w:val="hybridMultilevel"/>
    <w:tmpl w:val="5A1A6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953355"/>
    <w:multiLevelType w:val="hybridMultilevel"/>
    <w:tmpl w:val="5DA3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351C5C"/>
    <w:multiLevelType w:val="hybridMultilevel"/>
    <w:tmpl w:val="B67DF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56A625E"/>
    <w:multiLevelType w:val="hybridMultilevel"/>
    <w:tmpl w:val="CFC1A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C5DC37"/>
    <w:multiLevelType w:val="hybridMultilevel"/>
    <w:tmpl w:val="16CAE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14548F"/>
    <w:multiLevelType w:val="hybridMultilevel"/>
    <w:tmpl w:val="44073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34C388"/>
    <w:multiLevelType w:val="hybridMultilevel"/>
    <w:tmpl w:val="2CB052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3B986D4"/>
    <w:multiLevelType w:val="hybridMultilevel"/>
    <w:tmpl w:val="32152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1AD8B0A"/>
    <w:multiLevelType w:val="hybridMultilevel"/>
    <w:tmpl w:val="4915F1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F3A6F2"/>
    <w:multiLevelType w:val="hybridMultilevel"/>
    <w:tmpl w:val="BE98C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CB4C0A"/>
    <w:multiLevelType w:val="hybridMultilevel"/>
    <w:tmpl w:val="91F18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BFD36F"/>
    <w:multiLevelType w:val="hybridMultilevel"/>
    <w:tmpl w:val="35D57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7607D6"/>
    <w:multiLevelType w:val="hybridMultilevel"/>
    <w:tmpl w:val="A890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31"/>
    <w:rsid w:val="00157738"/>
    <w:rsid w:val="00191E6D"/>
    <w:rsid w:val="001C05CC"/>
    <w:rsid w:val="001E63A6"/>
    <w:rsid w:val="00250248"/>
    <w:rsid w:val="003E401F"/>
    <w:rsid w:val="004A122C"/>
    <w:rsid w:val="004D73FF"/>
    <w:rsid w:val="005016E0"/>
    <w:rsid w:val="006141E1"/>
    <w:rsid w:val="00724371"/>
    <w:rsid w:val="007600B2"/>
    <w:rsid w:val="00783EE4"/>
    <w:rsid w:val="007D279F"/>
    <w:rsid w:val="008628D2"/>
    <w:rsid w:val="0090780D"/>
    <w:rsid w:val="009D72E0"/>
    <w:rsid w:val="00A94C31"/>
    <w:rsid w:val="00AB5F52"/>
    <w:rsid w:val="00BB36D4"/>
    <w:rsid w:val="00CC029C"/>
    <w:rsid w:val="00CC36E7"/>
    <w:rsid w:val="00D654BF"/>
    <w:rsid w:val="00E024B9"/>
    <w:rsid w:val="00E21383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90CF"/>
  <w15:chartTrackingRefBased/>
  <w15:docId w15:val="{0A630BF0-9485-42C7-AAAD-FE18385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4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4D73FF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1E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1E6D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7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9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114B-91D9-4116-959C-17592CC7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 Żukowska</cp:lastModifiedBy>
  <cp:revision>2</cp:revision>
  <dcterms:created xsi:type="dcterms:W3CDTF">2022-02-23T19:02:00Z</dcterms:created>
  <dcterms:modified xsi:type="dcterms:W3CDTF">2022-02-23T19:02:00Z</dcterms:modified>
</cp:coreProperties>
</file>