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C259" w14:textId="682825DB" w:rsidR="00102C61" w:rsidRPr="00C87A67" w:rsidRDefault="00102C61" w:rsidP="00102C61">
      <w:pPr>
        <w:pStyle w:val="Podstawowyakapitowy"/>
        <w:spacing w:line="276" w:lineRule="auto"/>
        <w:jc w:val="right"/>
        <w:rPr>
          <w:rFonts w:asciiTheme="minorHAnsi" w:hAnsiTheme="minorHAnsi" w:cs="Roboto Lt"/>
          <w:color w:val="auto"/>
          <w:sz w:val="20"/>
          <w:szCs w:val="20"/>
        </w:rPr>
      </w:pPr>
      <w:r w:rsidRPr="00C87A67">
        <w:rPr>
          <w:rFonts w:asciiTheme="minorHAnsi" w:hAnsiTheme="minorHAnsi" w:cs="Roboto Lt"/>
          <w:color w:val="auto"/>
          <w:sz w:val="20"/>
          <w:szCs w:val="20"/>
        </w:rPr>
        <w:t>Załącznik nr 2</w:t>
      </w:r>
      <w:r w:rsidR="00C87A67" w:rsidRPr="00C87A67">
        <w:rPr>
          <w:rFonts w:asciiTheme="minorHAnsi" w:hAnsiTheme="minorHAnsi" w:cs="Roboto Lt"/>
          <w:color w:val="auto"/>
          <w:sz w:val="20"/>
          <w:szCs w:val="20"/>
        </w:rPr>
        <w:t>.1</w:t>
      </w:r>
      <w:r w:rsidRPr="00C87A67">
        <w:rPr>
          <w:rFonts w:asciiTheme="minorHAnsi" w:hAnsiTheme="minorHAnsi" w:cs="Roboto Lt"/>
          <w:color w:val="auto"/>
          <w:sz w:val="20"/>
          <w:szCs w:val="20"/>
        </w:rPr>
        <w:t xml:space="preserve"> do SWZ</w:t>
      </w:r>
    </w:p>
    <w:p w14:paraId="6E3BB363" w14:textId="07DB95E8" w:rsidR="00102C61" w:rsidRPr="00C87A67" w:rsidRDefault="00102C61" w:rsidP="00102C61">
      <w:pPr>
        <w:pStyle w:val="Adreszwrotnynakopercie"/>
        <w:jc w:val="right"/>
        <w:rPr>
          <w:rFonts w:asciiTheme="minorHAnsi" w:eastAsia="Calibri" w:hAnsiTheme="minorHAnsi" w:cs="Arial"/>
          <w:sz w:val="20"/>
        </w:rPr>
      </w:pPr>
      <w:r w:rsidRPr="00C87A67">
        <w:rPr>
          <w:rFonts w:asciiTheme="minorHAnsi" w:eastAsia="Calibri" w:hAnsiTheme="minorHAnsi" w:cs="Arial"/>
          <w:sz w:val="20"/>
        </w:rPr>
        <w:t xml:space="preserve">     Nr sprawy:</w:t>
      </w:r>
      <w:r w:rsidR="00C87A67">
        <w:rPr>
          <w:rFonts w:asciiTheme="minorHAnsi" w:eastAsia="Calibri" w:hAnsiTheme="minorHAnsi" w:cs="Arial"/>
          <w:sz w:val="20"/>
        </w:rPr>
        <w:t>PO.271.27.2021</w:t>
      </w:r>
    </w:p>
    <w:p w14:paraId="5D9184D0" w14:textId="32A10C36" w:rsidR="00102C61" w:rsidRPr="00C87A67" w:rsidRDefault="00102C61" w:rsidP="00102C61">
      <w:pPr>
        <w:pStyle w:val="Adreszwrotnynakopercie"/>
        <w:jc w:val="right"/>
        <w:rPr>
          <w:rFonts w:asciiTheme="minorHAnsi" w:eastAsia="Calibri" w:hAnsiTheme="minorHAnsi" w:cs="Arial"/>
          <w:sz w:val="20"/>
        </w:rPr>
      </w:pPr>
    </w:p>
    <w:p w14:paraId="675E35A0" w14:textId="77777777" w:rsidR="00102C61" w:rsidRPr="00C87A67" w:rsidRDefault="00102C61" w:rsidP="00102C61">
      <w:pPr>
        <w:pStyle w:val="Adreszwrotnynakopercie"/>
        <w:jc w:val="right"/>
        <w:rPr>
          <w:rFonts w:asciiTheme="minorHAnsi" w:hAnsiTheme="minorHAnsi" w:cs="Tahoma"/>
          <w:b/>
          <w:sz w:val="20"/>
        </w:rPr>
      </w:pPr>
    </w:p>
    <w:p w14:paraId="111362A8" w14:textId="77777777" w:rsidR="00102C61" w:rsidRPr="00C87A67" w:rsidRDefault="00102C61" w:rsidP="00102C61">
      <w:pPr>
        <w:pStyle w:val="Podstawowyakapitowy"/>
        <w:spacing w:line="276" w:lineRule="auto"/>
        <w:jc w:val="center"/>
        <w:rPr>
          <w:rFonts w:asciiTheme="minorHAnsi" w:hAnsiTheme="minorHAnsi" w:cs="Roboto Lt"/>
          <w:color w:val="auto"/>
          <w:sz w:val="20"/>
          <w:szCs w:val="20"/>
          <w:u w:val="single"/>
        </w:rPr>
      </w:pPr>
      <w:r w:rsidRPr="00C87A67">
        <w:rPr>
          <w:rFonts w:asciiTheme="minorHAnsi" w:hAnsiTheme="minorHAnsi" w:cs="Roboto Lt"/>
          <w:b/>
          <w:color w:val="auto"/>
          <w:sz w:val="20"/>
          <w:szCs w:val="20"/>
          <w:u w:val="single"/>
        </w:rPr>
        <w:t>Opis przedmiotu zamówienia (OPZ)</w:t>
      </w:r>
    </w:p>
    <w:p w14:paraId="2FBC81C7" w14:textId="77777777" w:rsidR="00102C61" w:rsidRPr="00C87A67" w:rsidRDefault="00102C61" w:rsidP="00102C61">
      <w:pPr>
        <w:pStyle w:val="Podstawowyakapitowy"/>
        <w:spacing w:line="276" w:lineRule="auto"/>
        <w:rPr>
          <w:rFonts w:asciiTheme="minorHAnsi" w:hAnsiTheme="minorHAnsi" w:cs="Roboto Lt"/>
          <w:color w:val="auto"/>
          <w:sz w:val="20"/>
          <w:szCs w:val="20"/>
          <w:u w:val="single"/>
        </w:rPr>
      </w:pPr>
    </w:p>
    <w:p w14:paraId="6DCB725A" w14:textId="62A403FB" w:rsidR="00102C61" w:rsidRPr="00C87A67" w:rsidRDefault="00102C61" w:rsidP="00102C61">
      <w:pPr>
        <w:pStyle w:val="Podstawowyakapitowy"/>
        <w:numPr>
          <w:ilvl w:val="0"/>
          <w:numId w:val="13"/>
        </w:numPr>
        <w:spacing w:after="200" w:line="276" w:lineRule="auto"/>
        <w:ind w:hanging="1080"/>
        <w:jc w:val="both"/>
        <w:rPr>
          <w:rFonts w:asciiTheme="minorHAnsi" w:hAnsiTheme="minorHAnsi" w:cs="Roboto Lt"/>
          <w:b/>
          <w:color w:val="auto"/>
          <w:sz w:val="20"/>
          <w:szCs w:val="20"/>
        </w:rPr>
      </w:pPr>
      <w:r w:rsidRPr="00C87A67">
        <w:rPr>
          <w:rFonts w:asciiTheme="minorHAnsi" w:hAnsiTheme="minorHAnsi" w:cs="Roboto Lt"/>
          <w:b/>
          <w:color w:val="auto"/>
          <w:sz w:val="20"/>
          <w:szCs w:val="20"/>
        </w:rPr>
        <w:t>Przedmiot zamówienia</w:t>
      </w:r>
    </w:p>
    <w:p w14:paraId="4939B057" w14:textId="0E12A8F2" w:rsidR="00A661DD" w:rsidRPr="00C87A67" w:rsidRDefault="00664E7D" w:rsidP="00A661DD">
      <w:pPr>
        <w:spacing w:after="0" w:line="240" w:lineRule="auto"/>
        <w:rPr>
          <w:rFonts w:cs="Tahoma"/>
          <w:szCs w:val="20"/>
        </w:rPr>
      </w:pPr>
      <w:r w:rsidRPr="00C87A67">
        <w:rPr>
          <w:rFonts w:cs="Tahoma"/>
          <w:szCs w:val="20"/>
        </w:rPr>
        <w:t>Zestaw urządzeń do wstępnych analiz zawartości węgla oraz pierwiastków towarzyszących</w:t>
      </w:r>
      <w:r w:rsidR="00A661DD" w:rsidRPr="00C87A67">
        <w:rPr>
          <w:rFonts w:cs="Tahoma"/>
          <w:szCs w:val="20"/>
        </w:rPr>
        <w:t xml:space="preserve">: cześć </w:t>
      </w:r>
      <w:r w:rsidR="00E13E0E" w:rsidRPr="00C87A67">
        <w:rPr>
          <w:rFonts w:cs="Tahoma"/>
          <w:szCs w:val="20"/>
        </w:rPr>
        <w:t>1</w:t>
      </w:r>
      <w:r w:rsidR="00A661DD" w:rsidRPr="00C87A67">
        <w:rPr>
          <w:rFonts w:cs="Tahoma"/>
          <w:szCs w:val="20"/>
        </w:rPr>
        <w:t xml:space="preserve">: </w:t>
      </w:r>
      <w:r w:rsidRPr="00C87A67">
        <w:rPr>
          <w:rFonts w:cs="Tahoma"/>
          <w:szCs w:val="20"/>
        </w:rPr>
        <w:t>Analizator do oznaczenia zawartości węgla i siarki w materiałach o matrycy organicznej</w:t>
      </w:r>
      <w:r w:rsidR="00C87A67">
        <w:rPr>
          <w:rFonts w:cs="Tahoma"/>
          <w:szCs w:val="20"/>
        </w:rPr>
        <w:t>.</w:t>
      </w:r>
    </w:p>
    <w:p w14:paraId="17E1BABD" w14:textId="77777777" w:rsidR="00102C61" w:rsidRPr="00C87A67" w:rsidRDefault="00102C61" w:rsidP="00102C61">
      <w:pPr>
        <w:pStyle w:val="Podstawowyakapitowy"/>
        <w:spacing w:after="200" w:line="276" w:lineRule="auto"/>
        <w:ind w:left="1080"/>
        <w:jc w:val="both"/>
        <w:rPr>
          <w:rFonts w:asciiTheme="minorHAnsi" w:hAnsiTheme="minorHAnsi" w:cs="Roboto Lt"/>
          <w:b/>
          <w:color w:val="auto"/>
          <w:sz w:val="20"/>
          <w:szCs w:val="20"/>
        </w:rPr>
      </w:pPr>
    </w:p>
    <w:p w14:paraId="55A193F5" w14:textId="77777777" w:rsidR="00102C61" w:rsidRPr="00C87A67" w:rsidRDefault="00102C61" w:rsidP="00102C61">
      <w:pPr>
        <w:pStyle w:val="Akapitzlist"/>
        <w:numPr>
          <w:ilvl w:val="0"/>
          <w:numId w:val="13"/>
        </w:numPr>
        <w:ind w:hanging="1080"/>
        <w:jc w:val="both"/>
        <w:rPr>
          <w:b/>
          <w:sz w:val="20"/>
          <w:szCs w:val="20"/>
        </w:rPr>
      </w:pPr>
      <w:r w:rsidRPr="00C87A67">
        <w:rPr>
          <w:b/>
          <w:sz w:val="20"/>
          <w:szCs w:val="20"/>
        </w:rPr>
        <w:t>Główne funkcje urządzenia</w:t>
      </w:r>
    </w:p>
    <w:tbl>
      <w:tblPr>
        <w:tblStyle w:val="Tabela-Siatka"/>
        <w:tblW w:w="8153" w:type="dxa"/>
        <w:tblLook w:val="04A0" w:firstRow="1" w:lastRow="0" w:firstColumn="1" w:lastColumn="0" w:noHBand="0" w:noVBand="1"/>
      </w:tblPr>
      <w:tblGrid>
        <w:gridCol w:w="895"/>
        <w:gridCol w:w="5377"/>
        <w:gridCol w:w="1881"/>
      </w:tblGrid>
      <w:tr w:rsidR="00102C61" w:rsidRPr="00C87A67" w14:paraId="388F682B" w14:textId="1D50BA60" w:rsidTr="00B505A9">
        <w:tc>
          <w:tcPr>
            <w:tcW w:w="895" w:type="dxa"/>
          </w:tcPr>
          <w:p w14:paraId="72FC5110" w14:textId="77777777" w:rsidR="00102C61" w:rsidRPr="00C87A67" w:rsidRDefault="00102C61" w:rsidP="00555A03">
            <w:pPr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L.p.</w:t>
            </w:r>
          </w:p>
        </w:tc>
        <w:tc>
          <w:tcPr>
            <w:tcW w:w="5377" w:type="dxa"/>
            <w:vAlign w:val="center"/>
          </w:tcPr>
          <w:p w14:paraId="54BED8C9" w14:textId="1394D577" w:rsidR="00102C61" w:rsidRPr="00C87A67" w:rsidRDefault="00102C61" w:rsidP="003F3446">
            <w:pPr>
              <w:pStyle w:val="Adreszwrotnynakopercie"/>
              <w:rPr>
                <w:rFonts w:asciiTheme="minorHAnsi" w:hAnsiTheme="minorHAnsi" w:cs="Tahoma"/>
                <w:b/>
                <w:sz w:val="20"/>
              </w:rPr>
            </w:pPr>
            <w:r w:rsidRPr="00C87A67">
              <w:rPr>
                <w:rFonts w:asciiTheme="minorHAnsi" w:hAnsiTheme="minorHAnsi" w:cs="Tahoma"/>
                <w:b/>
                <w:sz w:val="20"/>
              </w:rPr>
              <w:t xml:space="preserve">Minimalne parametry </w:t>
            </w:r>
            <w:r w:rsidR="00CC6E59" w:rsidRPr="00C87A67">
              <w:rPr>
                <w:rFonts w:asciiTheme="minorHAnsi" w:hAnsiTheme="minorHAnsi" w:cs="Tahoma"/>
                <w:b/>
                <w:sz w:val="20"/>
              </w:rPr>
              <w:t>użytkowe:</w:t>
            </w:r>
            <w:r w:rsidRPr="00C87A67">
              <w:rPr>
                <w:rFonts w:asciiTheme="minorHAnsi" w:hAnsiTheme="minorHAnsi" w:cs="Tahoma"/>
                <w:b/>
                <w:sz w:val="20"/>
              </w:rPr>
              <w:t xml:space="preserve"> </w:t>
            </w:r>
          </w:p>
        </w:tc>
        <w:tc>
          <w:tcPr>
            <w:tcW w:w="1881" w:type="dxa"/>
          </w:tcPr>
          <w:p w14:paraId="6AE569D8" w14:textId="77777777" w:rsidR="003F3446" w:rsidRPr="00C87A67" w:rsidRDefault="003F3446" w:rsidP="003F3446">
            <w:pPr>
              <w:widowControl w:val="0"/>
              <w:suppressAutoHyphens/>
              <w:spacing w:after="0" w:line="240" w:lineRule="auto"/>
              <w:ind w:left="57"/>
              <w:jc w:val="center"/>
              <w:rPr>
                <w:rFonts w:eastAsia="Verdana,Verdana,Arial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C87A67">
              <w:rPr>
                <w:rFonts w:eastAsia="Verdana,Verdana,Arial" w:cs="Calibri"/>
                <w:b/>
                <w:bCs/>
                <w:color w:val="000000"/>
                <w:spacing w:val="0"/>
                <w:szCs w:val="20"/>
                <w:lang w:eastAsia="pl-PL"/>
              </w:rPr>
              <w:t>Oferta Wykonawcy</w:t>
            </w:r>
          </w:p>
          <w:p w14:paraId="7E1A7009" w14:textId="77777777" w:rsidR="003F3446" w:rsidRPr="00C87A67" w:rsidRDefault="003F3446" w:rsidP="003F3446">
            <w:pPr>
              <w:widowControl w:val="0"/>
              <w:suppressAutoHyphens/>
              <w:spacing w:after="0" w:line="240" w:lineRule="auto"/>
              <w:ind w:left="57"/>
              <w:jc w:val="center"/>
              <w:rPr>
                <w:rFonts w:eastAsia="Verdana,Verdana,Arial" w:cs="Calibri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C87A67">
              <w:rPr>
                <w:rFonts w:eastAsia="Verdana,Verdana,Arial" w:cs="Calibri"/>
                <w:b/>
                <w:bCs/>
                <w:color w:val="auto"/>
                <w:spacing w:val="0"/>
                <w:szCs w:val="20"/>
                <w:lang w:eastAsia="pl-PL"/>
              </w:rPr>
              <w:t>Potwierdzenie spełnienia wymagania</w:t>
            </w:r>
          </w:p>
          <w:p w14:paraId="3D0AC739" w14:textId="342F17B9" w:rsidR="00102C61" w:rsidRPr="00C87A67" w:rsidRDefault="003F3446" w:rsidP="003F3446">
            <w:pPr>
              <w:widowControl w:val="0"/>
              <w:suppressAutoHyphens/>
              <w:spacing w:after="0" w:line="240" w:lineRule="auto"/>
              <w:ind w:left="57"/>
              <w:jc w:val="center"/>
              <w:rPr>
                <w:rFonts w:cs="Tahoma"/>
                <w:b/>
                <w:szCs w:val="20"/>
              </w:rPr>
            </w:pPr>
            <w:r w:rsidRPr="00C87A67">
              <w:rPr>
                <w:rFonts w:eastAsia="Verdana,Verdana,Arial" w:cs="Calibri"/>
                <w:i/>
                <w:color w:val="auto"/>
                <w:spacing w:val="0"/>
                <w:szCs w:val="20"/>
                <w:lang w:eastAsia="pl-PL"/>
              </w:rPr>
              <w:t xml:space="preserve">(Tak </w:t>
            </w:r>
            <w:r w:rsidRPr="00C87A67">
              <w:rPr>
                <w:rFonts w:eastAsia="Verdana,Verdana,Arial" w:cs="Calibri"/>
                <w:i/>
                <w:color w:val="000000"/>
                <w:spacing w:val="0"/>
                <w:szCs w:val="20"/>
                <w:lang w:eastAsia="pl-PL"/>
              </w:rPr>
              <w:t>albo</w:t>
            </w:r>
            <w:r w:rsidRPr="00C87A67">
              <w:rPr>
                <w:rFonts w:eastAsia="Verdana,Verdana,Arial" w:cs="Calibri"/>
                <w:i/>
                <w:color w:val="FF0000"/>
                <w:spacing w:val="0"/>
                <w:szCs w:val="20"/>
                <w:lang w:eastAsia="pl-PL"/>
              </w:rPr>
              <w:t xml:space="preserve"> </w:t>
            </w:r>
            <w:r w:rsidRPr="00C87A67">
              <w:rPr>
                <w:rFonts w:eastAsia="Verdana,Verdana,Arial" w:cs="Calibri"/>
                <w:i/>
                <w:color w:val="auto"/>
                <w:spacing w:val="0"/>
                <w:szCs w:val="20"/>
                <w:lang w:eastAsia="pl-PL"/>
              </w:rPr>
              <w:t xml:space="preserve">Nie- niepotrzebne skreślić) </w:t>
            </w:r>
            <w:r w:rsidRPr="00C87A67">
              <w:rPr>
                <w:rFonts w:cs="Tahoma"/>
                <w:bCs/>
                <w:i/>
                <w:szCs w:val="20"/>
              </w:rPr>
              <w:t>Kolumnę wypełnia Wykonawca</w:t>
            </w:r>
          </w:p>
        </w:tc>
      </w:tr>
      <w:tr w:rsidR="00102C61" w:rsidRPr="00C87A67" w14:paraId="57E5F873" w14:textId="6189A115" w:rsidTr="006F44F2">
        <w:tc>
          <w:tcPr>
            <w:tcW w:w="895" w:type="dxa"/>
          </w:tcPr>
          <w:p w14:paraId="709C0898" w14:textId="5E60DF7A" w:rsidR="00102C61" w:rsidRPr="00C87A67" w:rsidRDefault="001C6203" w:rsidP="00EB3F57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1.</w:t>
            </w:r>
          </w:p>
        </w:tc>
        <w:tc>
          <w:tcPr>
            <w:tcW w:w="5377" w:type="dxa"/>
          </w:tcPr>
          <w:p w14:paraId="2D029A4B" w14:textId="71BA19FF" w:rsidR="00102C61" w:rsidRPr="00C87A67" w:rsidRDefault="00CF156B" w:rsidP="00EB3F57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Analizator umożliwiający jednoczesną analizę węgla oraz siarki</w:t>
            </w:r>
            <w:r w:rsidR="0020513B" w:rsidRPr="00C87A67">
              <w:rPr>
                <w:rFonts w:cs="Tahoma"/>
                <w:szCs w:val="20"/>
              </w:rPr>
              <w:t xml:space="preserve"> </w:t>
            </w:r>
            <w:r w:rsidR="00967A61" w:rsidRPr="00C87A67">
              <w:rPr>
                <w:rFonts w:cs="Tahoma"/>
                <w:szCs w:val="20"/>
              </w:rPr>
              <w:t>w materiałach o matrycy organicznej</w:t>
            </w:r>
          </w:p>
        </w:tc>
        <w:tc>
          <w:tcPr>
            <w:tcW w:w="1881" w:type="dxa"/>
            <w:vAlign w:val="center"/>
          </w:tcPr>
          <w:p w14:paraId="77F5987D" w14:textId="7014DAFA" w:rsidR="00102C61" w:rsidRPr="00C87A67" w:rsidRDefault="00B505A9" w:rsidP="006F44F2">
            <w:pPr>
              <w:pStyle w:val="Adreszwrotnynakopercie"/>
              <w:jc w:val="center"/>
              <w:rPr>
                <w:rFonts w:asciiTheme="minorHAnsi" w:eastAsiaTheme="minorHAnsi" w:hAnsiTheme="minorHAnsi" w:cs="Tahoma"/>
                <w:color w:val="000000" w:themeColor="background1"/>
                <w:spacing w:val="4"/>
                <w:sz w:val="20"/>
                <w:lang w:eastAsia="en-US"/>
              </w:rPr>
            </w:pPr>
            <w:r w:rsidRPr="00DC5644">
              <w:rPr>
                <w:rFonts w:asciiTheme="minorHAnsi" w:eastAsiaTheme="minorHAnsi" w:hAnsiTheme="minorHAnsi" w:cs="Tahoma"/>
                <w:spacing w:val="4"/>
                <w:sz w:val="20"/>
                <w:lang w:eastAsia="en-US"/>
              </w:rPr>
              <w:t>TAK/NIE</w:t>
            </w:r>
          </w:p>
        </w:tc>
      </w:tr>
      <w:tr w:rsidR="00B505A9" w:rsidRPr="00C87A67" w14:paraId="710A7E3C" w14:textId="23E7E8E6" w:rsidTr="006F44F2">
        <w:tc>
          <w:tcPr>
            <w:tcW w:w="895" w:type="dxa"/>
          </w:tcPr>
          <w:p w14:paraId="2C793F60" w14:textId="1E21BDD8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2.</w:t>
            </w:r>
          </w:p>
        </w:tc>
        <w:tc>
          <w:tcPr>
            <w:tcW w:w="5377" w:type="dxa"/>
          </w:tcPr>
          <w:p w14:paraId="744E0B0A" w14:textId="5DBE0B33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System pomiarowy oraz wysokotemperaturowy piec w jednej obudowie</w:t>
            </w:r>
          </w:p>
        </w:tc>
        <w:tc>
          <w:tcPr>
            <w:tcW w:w="1881" w:type="dxa"/>
            <w:vAlign w:val="center"/>
          </w:tcPr>
          <w:p w14:paraId="12DE9234" w14:textId="0EDB076B" w:rsidR="00B505A9" w:rsidRPr="00B505A9" w:rsidRDefault="00B505A9" w:rsidP="006F44F2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007C3999" w14:textId="77777777" w:rsidTr="006F44F2">
        <w:tc>
          <w:tcPr>
            <w:tcW w:w="895" w:type="dxa"/>
          </w:tcPr>
          <w:p w14:paraId="528EBE01" w14:textId="41C02932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3.</w:t>
            </w:r>
          </w:p>
        </w:tc>
        <w:tc>
          <w:tcPr>
            <w:tcW w:w="5377" w:type="dxa"/>
          </w:tcPr>
          <w:p w14:paraId="491C0647" w14:textId="0FF584AE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Zakres roboczych temperatur pieca oporowego do 1450 °C, ±10 °C</w:t>
            </w:r>
          </w:p>
        </w:tc>
        <w:tc>
          <w:tcPr>
            <w:tcW w:w="1881" w:type="dxa"/>
            <w:vAlign w:val="center"/>
          </w:tcPr>
          <w:p w14:paraId="5329AA6F" w14:textId="03B84935" w:rsidR="00B505A9" w:rsidRPr="00B505A9" w:rsidRDefault="00B505A9" w:rsidP="006F44F2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0A133B3F" w14:textId="77777777" w:rsidTr="006F44F2">
        <w:tc>
          <w:tcPr>
            <w:tcW w:w="895" w:type="dxa"/>
          </w:tcPr>
          <w:p w14:paraId="69346153" w14:textId="5C1BBE86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4.</w:t>
            </w:r>
          </w:p>
        </w:tc>
        <w:tc>
          <w:tcPr>
            <w:tcW w:w="5377" w:type="dxa"/>
          </w:tcPr>
          <w:p w14:paraId="1986A9FC" w14:textId="3DB22C31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Oprogramowanie umożliwiające tworzenie dowolnej liczby metod analitycznych w zależności od analizowanych materiałów. Możliwość podglądu i edycji parametrów kalibracyjnych przez użytkownika.</w:t>
            </w:r>
          </w:p>
        </w:tc>
        <w:tc>
          <w:tcPr>
            <w:tcW w:w="1881" w:type="dxa"/>
            <w:vAlign w:val="center"/>
          </w:tcPr>
          <w:p w14:paraId="5E33F38C" w14:textId="4FDD17CD" w:rsidR="00B505A9" w:rsidRPr="00B505A9" w:rsidRDefault="00B505A9" w:rsidP="006F44F2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32E1782A" w14:textId="77777777" w:rsidTr="006F44F2">
        <w:tc>
          <w:tcPr>
            <w:tcW w:w="895" w:type="dxa"/>
          </w:tcPr>
          <w:p w14:paraId="5A46A3CE" w14:textId="2F68FA70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5.</w:t>
            </w:r>
          </w:p>
        </w:tc>
        <w:tc>
          <w:tcPr>
            <w:tcW w:w="5377" w:type="dxa"/>
          </w:tcPr>
          <w:p w14:paraId="6306F9A3" w14:textId="1F3CA50E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 xml:space="preserve">Niezależne detektory z wewnętrzną stabilizacją temperaturową do pomiaru węgla i siarki metodą absorpcji w podczerwieni IR </w:t>
            </w:r>
          </w:p>
        </w:tc>
        <w:tc>
          <w:tcPr>
            <w:tcW w:w="1881" w:type="dxa"/>
            <w:vAlign w:val="center"/>
          </w:tcPr>
          <w:p w14:paraId="1DA3E052" w14:textId="6FE7038B" w:rsidR="00B505A9" w:rsidRPr="00B505A9" w:rsidRDefault="00B505A9" w:rsidP="006F44F2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19CD822A" w14:textId="7F9B95C6" w:rsidTr="006F44F2">
        <w:tc>
          <w:tcPr>
            <w:tcW w:w="895" w:type="dxa"/>
          </w:tcPr>
          <w:p w14:paraId="3A99AA86" w14:textId="695C79C5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6.</w:t>
            </w:r>
          </w:p>
        </w:tc>
        <w:tc>
          <w:tcPr>
            <w:tcW w:w="5377" w:type="dxa"/>
          </w:tcPr>
          <w:p w14:paraId="664C57B4" w14:textId="561C7CBA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System spalania wyposażony w cztery elementy grzejne. Konstrukcja pieca umożliwiająca wymianę pojedynczych grzałek.</w:t>
            </w:r>
          </w:p>
        </w:tc>
        <w:tc>
          <w:tcPr>
            <w:tcW w:w="1881" w:type="dxa"/>
            <w:vAlign w:val="center"/>
          </w:tcPr>
          <w:p w14:paraId="0ECDD8AD" w14:textId="0C7FE961" w:rsidR="00B505A9" w:rsidRPr="00B505A9" w:rsidRDefault="00B505A9" w:rsidP="006F44F2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7A204BC8" w14:textId="77777777" w:rsidTr="006F44F2">
        <w:tc>
          <w:tcPr>
            <w:tcW w:w="895" w:type="dxa"/>
          </w:tcPr>
          <w:p w14:paraId="3B1113B6" w14:textId="1BB867AA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lastRenderedPageBreak/>
              <w:t>7.</w:t>
            </w:r>
          </w:p>
        </w:tc>
        <w:tc>
          <w:tcPr>
            <w:tcW w:w="5377" w:type="dxa"/>
          </w:tcPr>
          <w:p w14:paraId="192E0B61" w14:textId="44D49617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Dwie płuczki szklane z osuszaczem wypełnionym watą szklaną i nadchloranem magnezu.</w:t>
            </w:r>
          </w:p>
        </w:tc>
        <w:tc>
          <w:tcPr>
            <w:tcW w:w="1881" w:type="dxa"/>
            <w:vAlign w:val="center"/>
          </w:tcPr>
          <w:p w14:paraId="16774F0C" w14:textId="2228E7B6" w:rsidR="00B505A9" w:rsidRPr="00B505A9" w:rsidRDefault="00B505A9" w:rsidP="006F44F2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182317F6" w14:textId="77777777" w:rsidTr="006F44F2">
        <w:tc>
          <w:tcPr>
            <w:tcW w:w="895" w:type="dxa"/>
          </w:tcPr>
          <w:p w14:paraId="5DC76A82" w14:textId="0C6DAA38" w:rsidR="00B505A9" w:rsidRPr="00C87A67" w:rsidRDefault="00B505A9" w:rsidP="00B505A9">
            <w:pPr>
              <w:spacing w:after="0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8.</w:t>
            </w:r>
          </w:p>
        </w:tc>
        <w:tc>
          <w:tcPr>
            <w:tcW w:w="5377" w:type="dxa"/>
          </w:tcPr>
          <w:p w14:paraId="464DD9FD" w14:textId="798A1E9E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Kalibracja wielopunktowa dla węgla i siarki z użyciem wielu wzorców w całym zakresie pomiarowym w obrębie jednej metody. Możliwość korekty istniejącej kalibracji (nachylenia krzywej) w oparciu o analizę jednego wzorca.</w:t>
            </w:r>
          </w:p>
        </w:tc>
        <w:tc>
          <w:tcPr>
            <w:tcW w:w="1881" w:type="dxa"/>
            <w:vAlign w:val="center"/>
          </w:tcPr>
          <w:p w14:paraId="33B093CE" w14:textId="164DF0CF" w:rsidR="00B505A9" w:rsidRPr="00B505A9" w:rsidRDefault="00B505A9" w:rsidP="006F44F2">
            <w:pPr>
              <w:spacing w:after="0"/>
              <w:jc w:val="center"/>
              <w:rPr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3C9F2ADA" w14:textId="09FE0F30" w:rsidTr="006F44F2">
        <w:tc>
          <w:tcPr>
            <w:tcW w:w="895" w:type="dxa"/>
          </w:tcPr>
          <w:p w14:paraId="7C073CB4" w14:textId="6627E86E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9.</w:t>
            </w:r>
          </w:p>
        </w:tc>
        <w:tc>
          <w:tcPr>
            <w:tcW w:w="5377" w:type="dxa"/>
          </w:tcPr>
          <w:p w14:paraId="17FF6A56" w14:textId="24775B1E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Oprogramowanie analityczne wyposażone w funkcję podręcznej statystyki dla wybranych zaznaczonych wyników (średnia, odchylenie standardowe i rozrzut wyników)</w:t>
            </w:r>
          </w:p>
        </w:tc>
        <w:tc>
          <w:tcPr>
            <w:tcW w:w="1881" w:type="dxa"/>
            <w:vAlign w:val="center"/>
          </w:tcPr>
          <w:p w14:paraId="72994999" w14:textId="471BF7CF" w:rsidR="00B505A9" w:rsidRPr="00B505A9" w:rsidRDefault="00B505A9" w:rsidP="006F44F2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38204528" w14:textId="77777777" w:rsidTr="00B505A9">
        <w:tc>
          <w:tcPr>
            <w:tcW w:w="895" w:type="dxa"/>
          </w:tcPr>
          <w:p w14:paraId="0C5C0CB4" w14:textId="240CA5BF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10.</w:t>
            </w:r>
          </w:p>
        </w:tc>
        <w:tc>
          <w:tcPr>
            <w:tcW w:w="5377" w:type="dxa"/>
          </w:tcPr>
          <w:p w14:paraId="425FF9CE" w14:textId="7E84705B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Autodiagnostyka parametrów pracy analizatora</w:t>
            </w:r>
          </w:p>
        </w:tc>
        <w:tc>
          <w:tcPr>
            <w:tcW w:w="1881" w:type="dxa"/>
          </w:tcPr>
          <w:p w14:paraId="76FF3850" w14:textId="16FEAC66" w:rsidR="00B505A9" w:rsidRPr="00B505A9" w:rsidRDefault="00B505A9" w:rsidP="00B505A9">
            <w:pPr>
              <w:spacing w:after="0" w:line="240" w:lineRule="auto"/>
              <w:ind w:left="360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26DE8CEE" w14:textId="77777777" w:rsidTr="00B505A9">
        <w:tc>
          <w:tcPr>
            <w:tcW w:w="895" w:type="dxa"/>
          </w:tcPr>
          <w:p w14:paraId="29697B22" w14:textId="143F4570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11.</w:t>
            </w:r>
          </w:p>
        </w:tc>
        <w:tc>
          <w:tcPr>
            <w:tcW w:w="5377" w:type="dxa"/>
          </w:tcPr>
          <w:p w14:paraId="4EA58611" w14:textId="039E56D7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Automatyczne przejście w tryb oszczędnego zużycia tlenu po zakończeniu analizy</w:t>
            </w:r>
          </w:p>
        </w:tc>
        <w:tc>
          <w:tcPr>
            <w:tcW w:w="1881" w:type="dxa"/>
          </w:tcPr>
          <w:p w14:paraId="3F15154A" w14:textId="4328839F" w:rsidR="00B505A9" w:rsidRPr="00B505A9" w:rsidRDefault="00B505A9" w:rsidP="00B505A9">
            <w:pPr>
              <w:spacing w:after="0" w:line="240" w:lineRule="auto"/>
              <w:ind w:left="360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045BEF04" w14:textId="77777777" w:rsidTr="00B505A9">
        <w:tc>
          <w:tcPr>
            <w:tcW w:w="895" w:type="dxa"/>
          </w:tcPr>
          <w:p w14:paraId="4271556F" w14:textId="5A57A43D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12.</w:t>
            </w:r>
          </w:p>
        </w:tc>
        <w:tc>
          <w:tcPr>
            <w:tcW w:w="5377" w:type="dxa"/>
          </w:tcPr>
          <w:p w14:paraId="10E763E9" w14:textId="5130B2DC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Zakres pomiarowy: C = 0,0175 mg do 200 mg (0,5% RSD), S = 0,008 – 30 mg (1,5% RSD)</w:t>
            </w:r>
          </w:p>
        </w:tc>
        <w:tc>
          <w:tcPr>
            <w:tcW w:w="1881" w:type="dxa"/>
          </w:tcPr>
          <w:p w14:paraId="17F09A4B" w14:textId="044E37F1" w:rsidR="00B505A9" w:rsidRPr="00B505A9" w:rsidRDefault="00B505A9" w:rsidP="00B505A9">
            <w:pPr>
              <w:spacing w:after="0" w:line="240" w:lineRule="auto"/>
              <w:ind w:left="360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0A2FCD41" w14:textId="77777777" w:rsidTr="00B505A9">
        <w:tc>
          <w:tcPr>
            <w:tcW w:w="895" w:type="dxa"/>
          </w:tcPr>
          <w:p w14:paraId="0B00B908" w14:textId="6F44AE18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13.</w:t>
            </w:r>
          </w:p>
        </w:tc>
        <w:tc>
          <w:tcPr>
            <w:tcW w:w="5377" w:type="dxa"/>
          </w:tcPr>
          <w:p w14:paraId="35C7117E" w14:textId="54652F70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Analiza wykonywana przy użyciu ceramicznych łódeczek pomiarowych wielokrotnego użytku</w:t>
            </w:r>
          </w:p>
        </w:tc>
        <w:tc>
          <w:tcPr>
            <w:tcW w:w="1881" w:type="dxa"/>
          </w:tcPr>
          <w:p w14:paraId="30F6E158" w14:textId="47C4CF79" w:rsidR="00B505A9" w:rsidRPr="00B505A9" w:rsidRDefault="00B505A9" w:rsidP="00B505A9">
            <w:pPr>
              <w:spacing w:after="0" w:line="240" w:lineRule="auto"/>
              <w:ind w:left="360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1C70EA0C" w14:textId="77777777" w:rsidTr="00B505A9">
        <w:tc>
          <w:tcPr>
            <w:tcW w:w="895" w:type="dxa"/>
          </w:tcPr>
          <w:p w14:paraId="377C5F56" w14:textId="38D7CB2D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14.</w:t>
            </w:r>
          </w:p>
        </w:tc>
        <w:tc>
          <w:tcPr>
            <w:tcW w:w="5377" w:type="dxa"/>
          </w:tcPr>
          <w:p w14:paraId="39623298" w14:textId="2A34CFF2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Możliwość zdalnej diagnostyki urządzenia</w:t>
            </w:r>
          </w:p>
        </w:tc>
        <w:tc>
          <w:tcPr>
            <w:tcW w:w="1881" w:type="dxa"/>
          </w:tcPr>
          <w:p w14:paraId="073BCE95" w14:textId="64583444" w:rsidR="00B505A9" w:rsidRPr="00B505A9" w:rsidRDefault="00B505A9" w:rsidP="00B505A9">
            <w:pPr>
              <w:spacing w:after="0" w:line="240" w:lineRule="auto"/>
              <w:ind w:left="360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2D602C70" w14:textId="77777777" w:rsidTr="00B505A9">
        <w:tc>
          <w:tcPr>
            <w:tcW w:w="895" w:type="dxa"/>
          </w:tcPr>
          <w:p w14:paraId="68123E60" w14:textId="499A4BF2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15.</w:t>
            </w:r>
          </w:p>
        </w:tc>
        <w:tc>
          <w:tcPr>
            <w:tcW w:w="5377" w:type="dxa"/>
          </w:tcPr>
          <w:p w14:paraId="1EEFCBB5" w14:textId="08AC0562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Oprogramowanie sterujące pracą analizatora w języku polskim</w:t>
            </w:r>
          </w:p>
        </w:tc>
        <w:tc>
          <w:tcPr>
            <w:tcW w:w="1881" w:type="dxa"/>
          </w:tcPr>
          <w:p w14:paraId="7066A8A1" w14:textId="26D9F058" w:rsidR="00B505A9" w:rsidRPr="00B505A9" w:rsidRDefault="00B505A9" w:rsidP="00B505A9">
            <w:pPr>
              <w:spacing w:after="0" w:line="240" w:lineRule="auto"/>
              <w:ind w:left="360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49D538C1" w14:textId="77777777" w:rsidTr="00B505A9">
        <w:tc>
          <w:tcPr>
            <w:tcW w:w="895" w:type="dxa"/>
          </w:tcPr>
          <w:p w14:paraId="2BB8CB2C" w14:textId="3F607182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16.</w:t>
            </w:r>
          </w:p>
        </w:tc>
        <w:tc>
          <w:tcPr>
            <w:tcW w:w="5377" w:type="dxa"/>
          </w:tcPr>
          <w:p w14:paraId="6B572D4D" w14:textId="44661EEC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 xml:space="preserve">Wymagania elektryczne 230V~, 50/60 </w:t>
            </w:r>
            <w:proofErr w:type="spellStart"/>
            <w:r w:rsidRPr="00C87A67">
              <w:rPr>
                <w:rFonts w:cs="Tahoma"/>
                <w:szCs w:val="20"/>
              </w:rPr>
              <w:t>Hz</w:t>
            </w:r>
            <w:proofErr w:type="spellEnd"/>
          </w:p>
        </w:tc>
        <w:tc>
          <w:tcPr>
            <w:tcW w:w="1881" w:type="dxa"/>
          </w:tcPr>
          <w:p w14:paraId="0A71C668" w14:textId="11E61911" w:rsidR="00B505A9" w:rsidRPr="00B505A9" w:rsidRDefault="00B505A9" w:rsidP="00B505A9">
            <w:pPr>
              <w:spacing w:after="0" w:line="240" w:lineRule="auto"/>
              <w:ind w:left="360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50040EFD" w14:textId="77777777" w:rsidTr="00B505A9">
        <w:tc>
          <w:tcPr>
            <w:tcW w:w="895" w:type="dxa"/>
          </w:tcPr>
          <w:p w14:paraId="01B3C32F" w14:textId="3CDF89F1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17.</w:t>
            </w:r>
          </w:p>
        </w:tc>
        <w:tc>
          <w:tcPr>
            <w:tcW w:w="5377" w:type="dxa"/>
          </w:tcPr>
          <w:p w14:paraId="685393E6" w14:textId="3877114E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Możliwość szybkiej i samodzielnej wymiany części zużywalnych analizatora. Dostęp do filmów instruktażowych dla podstawowych czynności serwisowych.</w:t>
            </w:r>
          </w:p>
        </w:tc>
        <w:tc>
          <w:tcPr>
            <w:tcW w:w="1881" w:type="dxa"/>
          </w:tcPr>
          <w:p w14:paraId="695DD6BD" w14:textId="435C6463" w:rsidR="00B505A9" w:rsidRPr="00B505A9" w:rsidRDefault="00B505A9" w:rsidP="00B505A9">
            <w:pPr>
              <w:spacing w:after="0" w:line="240" w:lineRule="auto"/>
              <w:ind w:left="360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2DE457D5" w14:textId="77777777" w:rsidTr="00B505A9">
        <w:tc>
          <w:tcPr>
            <w:tcW w:w="895" w:type="dxa"/>
          </w:tcPr>
          <w:p w14:paraId="32D9F5E6" w14:textId="646D3B54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18.</w:t>
            </w:r>
          </w:p>
        </w:tc>
        <w:tc>
          <w:tcPr>
            <w:tcW w:w="5377" w:type="dxa"/>
          </w:tcPr>
          <w:p w14:paraId="6EBB54F1" w14:textId="511BBC86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Sterowanie analizatorem poprzez ekran dotykowy oraz komputer klasy PC z Windows 10 (64bit)</w:t>
            </w:r>
            <w:r w:rsidR="00954B22">
              <w:rPr>
                <w:rFonts w:cs="Tahoma"/>
                <w:szCs w:val="20"/>
              </w:rPr>
              <w:t xml:space="preserve"> lub równoważnym systemem</w:t>
            </w:r>
            <w:r w:rsidR="00954B22">
              <w:rPr>
                <w:rStyle w:val="Odwoanieprzypisudolnego"/>
                <w:rFonts w:cs="Tahoma"/>
                <w:szCs w:val="20"/>
              </w:rPr>
              <w:footnoteReference w:id="1"/>
            </w:r>
            <w:r w:rsidRPr="00C87A67">
              <w:rPr>
                <w:rFonts w:cs="Tahoma"/>
                <w:szCs w:val="20"/>
              </w:rPr>
              <w:t xml:space="preserve"> – dostarczon</w:t>
            </w:r>
            <w:r w:rsidR="00954B22">
              <w:rPr>
                <w:rFonts w:cs="Tahoma"/>
                <w:szCs w:val="20"/>
              </w:rPr>
              <w:t>y</w:t>
            </w:r>
            <w:r w:rsidRPr="00C87A67">
              <w:rPr>
                <w:rFonts w:cs="Tahoma"/>
                <w:szCs w:val="20"/>
              </w:rPr>
              <w:t xml:space="preserve"> wraz z analizatorem</w:t>
            </w:r>
          </w:p>
        </w:tc>
        <w:tc>
          <w:tcPr>
            <w:tcW w:w="1881" w:type="dxa"/>
          </w:tcPr>
          <w:p w14:paraId="23B690F9" w14:textId="4A84012E" w:rsidR="00B505A9" w:rsidRPr="00B505A9" w:rsidRDefault="00B505A9" w:rsidP="00B505A9">
            <w:pPr>
              <w:spacing w:after="0" w:line="240" w:lineRule="auto"/>
              <w:ind w:left="360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683E42DF" w14:textId="77777777" w:rsidTr="00B505A9">
        <w:tc>
          <w:tcPr>
            <w:tcW w:w="895" w:type="dxa"/>
          </w:tcPr>
          <w:p w14:paraId="6C9FA18F" w14:textId="59F1AABA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19</w:t>
            </w:r>
          </w:p>
        </w:tc>
        <w:tc>
          <w:tcPr>
            <w:tcW w:w="5377" w:type="dxa"/>
          </w:tcPr>
          <w:p w14:paraId="4305D5A6" w14:textId="2C788984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Wzorce do kalibracji urządzenia</w:t>
            </w:r>
          </w:p>
        </w:tc>
        <w:tc>
          <w:tcPr>
            <w:tcW w:w="1881" w:type="dxa"/>
          </w:tcPr>
          <w:p w14:paraId="51E20DF5" w14:textId="452E2C09" w:rsidR="00B505A9" w:rsidRPr="00B505A9" w:rsidRDefault="00B505A9" w:rsidP="00B505A9">
            <w:pPr>
              <w:spacing w:after="0" w:line="240" w:lineRule="auto"/>
              <w:ind w:left="360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4DC56CC1" w14:textId="77777777" w:rsidTr="00B505A9">
        <w:tc>
          <w:tcPr>
            <w:tcW w:w="895" w:type="dxa"/>
          </w:tcPr>
          <w:p w14:paraId="75A14019" w14:textId="72C7D53D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</w:t>
            </w:r>
            <w:r w:rsidRPr="00C87A67">
              <w:rPr>
                <w:rFonts w:cs="Tahoma"/>
                <w:szCs w:val="20"/>
              </w:rPr>
              <w:t>.</w:t>
            </w:r>
          </w:p>
        </w:tc>
        <w:tc>
          <w:tcPr>
            <w:tcW w:w="5377" w:type="dxa"/>
          </w:tcPr>
          <w:p w14:paraId="4624E37C" w14:textId="05C75707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Waga analityczna do ważenia próbek</w:t>
            </w:r>
          </w:p>
        </w:tc>
        <w:tc>
          <w:tcPr>
            <w:tcW w:w="1881" w:type="dxa"/>
          </w:tcPr>
          <w:p w14:paraId="1037F52D" w14:textId="175C2572" w:rsidR="00B505A9" w:rsidRPr="00B505A9" w:rsidRDefault="00B505A9" w:rsidP="00B505A9">
            <w:pPr>
              <w:spacing w:after="0" w:line="240" w:lineRule="auto"/>
              <w:ind w:left="360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5B64CE76" w14:textId="77777777" w:rsidTr="00B505A9">
        <w:tc>
          <w:tcPr>
            <w:tcW w:w="895" w:type="dxa"/>
          </w:tcPr>
          <w:p w14:paraId="170E5501" w14:textId="4C57A189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2</w:t>
            </w:r>
            <w:r>
              <w:rPr>
                <w:rFonts w:cs="Tahoma"/>
                <w:szCs w:val="20"/>
              </w:rPr>
              <w:t>1</w:t>
            </w:r>
            <w:r w:rsidRPr="00C87A67">
              <w:rPr>
                <w:rFonts w:cs="Tahoma"/>
                <w:szCs w:val="20"/>
              </w:rPr>
              <w:t>.</w:t>
            </w:r>
          </w:p>
        </w:tc>
        <w:tc>
          <w:tcPr>
            <w:tcW w:w="5377" w:type="dxa"/>
          </w:tcPr>
          <w:p w14:paraId="1BDFBAFE" w14:textId="767A7DCC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Dwustopniowe Reduktory butlowe do podłączenia gazów</w:t>
            </w:r>
          </w:p>
        </w:tc>
        <w:tc>
          <w:tcPr>
            <w:tcW w:w="1881" w:type="dxa"/>
          </w:tcPr>
          <w:p w14:paraId="71155B84" w14:textId="45154787" w:rsidR="00B505A9" w:rsidRPr="00B505A9" w:rsidRDefault="00B505A9" w:rsidP="00B505A9">
            <w:pPr>
              <w:spacing w:after="0" w:line="240" w:lineRule="auto"/>
              <w:ind w:left="360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11AD8A35" w14:textId="77777777" w:rsidTr="00B505A9">
        <w:tc>
          <w:tcPr>
            <w:tcW w:w="895" w:type="dxa"/>
          </w:tcPr>
          <w:p w14:paraId="004CB70B" w14:textId="2A3870A9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2</w:t>
            </w:r>
            <w:r>
              <w:rPr>
                <w:rFonts w:cs="Tahoma"/>
                <w:szCs w:val="20"/>
              </w:rPr>
              <w:t>2</w:t>
            </w:r>
            <w:r w:rsidRPr="00C87A67">
              <w:rPr>
                <w:rFonts w:cs="Tahoma"/>
                <w:szCs w:val="20"/>
              </w:rPr>
              <w:t>.</w:t>
            </w:r>
          </w:p>
        </w:tc>
        <w:tc>
          <w:tcPr>
            <w:tcW w:w="5377" w:type="dxa"/>
          </w:tcPr>
          <w:p w14:paraId="1A16DC0B" w14:textId="3FB1DEA8" w:rsidR="00B505A9" w:rsidRPr="00C87A67" w:rsidRDefault="008B596E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Inst</w:t>
            </w:r>
            <w:r>
              <w:rPr>
                <w:rFonts w:cs="Tahoma"/>
                <w:szCs w:val="20"/>
              </w:rPr>
              <w:t>alacja</w:t>
            </w:r>
            <w:r w:rsidRPr="00C87A67">
              <w:rPr>
                <w:rFonts w:cs="Tahoma"/>
                <w:szCs w:val="20"/>
              </w:rPr>
              <w:t xml:space="preserve"> </w:t>
            </w:r>
            <w:r w:rsidR="00B505A9" w:rsidRPr="00C87A67">
              <w:rPr>
                <w:rFonts w:cs="Tahoma"/>
                <w:szCs w:val="20"/>
              </w:rPr>
              <w:t>zakończona testem akceptacyjnym wykonania analizy 4 próbek przygotowanych przez Zamawiającego</w:t>
            </w:r>
          </w:p>
        </w:tc>
        <w:tc>
          <w:tcPr>
            <w:tcW w:w="1881" w:type="dxa"/>
          </w:tcPr>
          <w:p w14:paraId="7A044A91" w14:textId="5C65D9F6" w:rsidR="00B505A9" w:rsidRPr="00B505A9" w:rsidRDefault="00B505A9" w:rsidP="00B505A9">
            <w:pPr>
              <w:spacing w:after="0" w:line="240" w:lineRule="auto"/>
              <w:ind w:left="360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7E8E3151" w14:textId="77777777" w:rsidTr="00B505A9">
        <w:tc>
          <w:tcPr>
            <w:tcW w:w="895" w:type="dxa"/>
          </w:tcPr>
          <w:p w14:paraId="02FC19C3" w14:textId="7EF08E86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2</w:t>
            </w:r>
            <w:r>
              <w:rPr>
                <w:rFonts w:cs="Tahoma"/>
                <w:szCs w:val="20"/>
              </w:rPr>
              <w:t>3</w:t>
            </w:r>
            <w:r w:rsidRPr="00C87A67">
              <w:rPr>
                <w:rFonts w:cs="Tahoma"/>
                <w:szCs w:val="20"/>
              </w:rPr>
              <w:t>.</w:t>
            </w:r>
          </w:p>
        </w:tc>
        <w:tc>
          <w:tcPr>
            <w:tcW w:w="5377" w:type="dxa"/>
          </w:tcPr>
          <w:p w14:paraId="1C75042A" w14:textId="28D83D54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System dostarczony razem z zestawem materiałów eksploatacyjnych potrzebnych do wykonania 1000 analiz</w:t>
            </w:r>
          </w:p>
        </w:tc>
        <w:tc>
          <w:tcPr>
            <w:tcW w:w="1881" w:type="dxa"/>
          </w:tcPr>
          <w:p w14:paraId="502D8D2F" w14:textId="4A679CFD" w:rsidR="00B505A9" w:rsidRPr="00B505A9" w:rsidRDefault="00B505A9" w:rsidP="00B505A9">
            <w:pPr>
              <w:spacing w:after="0" w:line="240" w:lineRule="auto"/>
              <w:ind w:left="360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B505A9" w:rsidRPr="00C87A67" w14:paraId="03A87637" w14:textId="77777777" w:rsidTr="00B505A9">
        <w:tc>
          <w:tcPr>
            <w:tcW w:w="895" w:type="dxa"/>
          </w:tcPr>
          <w:p w14:paraId="02D6DACD" w14:textId="143F7918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2</w:t>
            </w:r>
            <w:r>
              <w:rPr>
                <w:rFonts w:cs="Tahoma"/>
                <w:szCs w:val="20"/>
              </w:rPr>
              <w:t>4</w:t>
            </w:r>
            <w:r w:rsidRPr="00C87A67">
              <w:rPr>
                <w:rFonts w:cs="Tahoma"/>
                <w:szCs w:val="20"/>
              </w:rPr>
              <w:t>.</w:t>
            </w:r>
          </w:p>
        </w:tc>
        <w:tc>
          <w:tcPr>
            <w:tcW w:w="5377" w:type="dxa"/>
          </w:tcPr>
          <w:p w14:paraId="0794A25F" w14:textId="4FD61843" w:rsidR="00B505A9" w:rsidRPr="00C87A67" w:rsidRDefault="00B505A9" w:rsidP="00B505A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Sprzęt fabrycznie nowy</w:t>
            </w:r>
          </w:p>
        </w:tc>
        <w:tc>
          <w:tcPr>
            <w:tcW w:w="1881" w:type="dxa"/>
          </w:tcPr>
          <w:p w14:paraId="6C25DD52" w14:textId="03FE81F6" w:rsidR="00B505A9" w:rsidRPr="00B505A9" w:rsidRDefault="00B505A9" w:rsidP="00B505A9">
            <w:pPr>
              <w:spacing w:after="0" w:line="240" w:lineRule="auto"/>
              <w:ind w:left="360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CC6E59" w:rsidRPr="00C87A67" w14:paraId="6C77FA92" w14:textId="77777777" w:rsidTr="00B505A9">
        <w:tc>
          <w:tcPr>
            <w:tcW w:w="895" w:type="dxa"/>
          </w:tcPr>
          <w:p w14:paraId="6D888448" w14:textId="6586E06B" w:rsidR="00CC6E59" w:rsidRPr="00C87A67" w:rsidRDefault="00CC6E59" w:rsidP="00CC6E5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lastRenderedPageBreak/>
              <w:t>2</w:t>
            </w:r>
            <w:r>
              <w:rPr>
                <w:rFonts w:cs="Tahoma"/>
                <w:szCs w:val="20"/>
              </w:rPr>
              <w:t>5</w:t>
            </w:r>
            <w:r w:rsidRPr="00C87A67">
              <w:rPr>
                <w:rFonts w:cs="Tahoma"/>
                <w:szCs w:val="20"/>
              </w:rPr>
              <w:t>.</w:t>
            </w:r>
          </w:p>
        </w:tc>
        <w:tc>
          <w:tcPr>
            <w:tcW w:w="5377" w:type="dxa"/>
          </w:tcPr>
          <w:p w14:paraId="2947A483" w14:textId="5AD71B81" w:rsidR="00CC6E59" w:rsidRPr="00C87A67" w:rsidRDefault="00CC6E59" w:rsidP="00CC6E59">
            <w:pPr>
              <w:spacing w:after="0" w:line="240" w:lineRule="auto"/>
              <w:rPr>
                <w:rFonts w:cs="Tahoma"/>
                <w:szCs w:val="20"/>
              </w:rPr>
            </w:pPr>
            <w:r w:rsidRPr="00AE25AF">
              <w:rPr>
                <w:rFonts w:cs="Tahoma"/>
                <w:szCs w:val="20"/>
              </w:rPr>
              <w:t>Dostarczony sprzęt musi posiadać komplet przewodów i zasilaczy potrzebnych do uruchomienia urządzenia</w:t>
            </w:r>
          </w:p>
        </w:tc>
        <w:tc>
          <w:tcPr>
            <w:tcW w:w="1881" w:type="dxa"/>
          </w:tcPr>
          <w:p w14:paraId="3C7EEDDD" w14:textId="55CC6AFF" w:rsidR="00CC6E59" w:rsidRPr="00B505A9" w:rsidRDefault="00CC6E59" w:rsidP="00CC6E59">
            <w:pPr>
              <w:spacing w:after="0" w:line="240" w:lineRule="auto"/>
              <w:ind w:left="360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CC6E59" w:rsidRPr="00C87A67" w14:paraId="567A462E" w14:textId="77777777" w:rsidTr="00B505A9">
        <w:tc>
          <w:tcPr>
            <w:tcW w:w="895" w:type="dxa"/>
          </w:tcPr>
          <w:p w14:paraId="7B880186" w14:textId="32353A74" w:rsidR="00CC6E59" w:rsidRPr="00C87A67" w:rsidRDefault="00CC6E59" w:rsidP="00CC6E5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2</w:t>
            </w:r>
            <w:r>
              <w:rPr>
                <w:rFonts w:cs="Tahoma"/>
                <w:szCs w:val="20"/>
              </w:rPr>
              <w:t>6</w:t>
            </w:r>
            <w:r w:rsidRPr="00C87A67">
              <w:rPr>
                <w:rFonts w:cs="Tahoma"/>
                <w:szCs w:val="20"/>
              </w:rPr>
              <w:t>.</w:t>
            </w:r>
          </w:p>
        </w:tc>
        <w:tc>
          <w:tcPr>
            <w:tcW w:w="5377" w:type="dxa"/>
          </w:tcPr>
          <w:p w14:paraId="2BAF637F" w14:textId="6F3BEB79" w:rsidR="00CC6E59" w:rsidRPr="00C87A67" w:rsidRDefault="00CC6E59" w:rsidP="00CC6E5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Co najmniej dwudniowy instruktarz stanowiskowy i szkolenie personelu. 1</w:t>
            </w:r>
            <w:r>
              <w:rPr>
                <w:rFonts w:cs="Tahoma"/>
                <w:szCs w:val="20"/>
              </w:rPr>
              <w:t xml:space="preserve"> </w:t>
            </w:r>
            <w:r w:rsidRPr="00C87A67">
              <w:rPr>
                <w:rFonts w:cs="Tahoma"/>
                <w:szCs w:val="20"/>
              </w:rPr>
              <w:t>dzie</w:t>
            </w:r>
            <w:r>
              <w:rPr>
                <w:rFonts w:cs="Tahoma"/>
                <w:szCs w:val="20"/>
              </w:rPr>
              <w:t>ń</w:t>
            </w:r>
            <w:r w:rsidRPr="00C87A67">
              <w:rPr>
                <w:rFonts w:cs="Tahoma"/>
                <w:szCs w:val="20"/>
              </w:rPr>
              <w:t xml:space="preserve"> po instalacji, 2</w:t>
            </w:r>
            <w:r>
              <w:rPr>
                <w:rFonts w:cs="Tahoma"/>
                <w:szCs w:val="20"/>
              </w:rPr>
              <w:t>-(drugie)</w:t>
            </w:r>
            <w:r w:rsidRPr="00C87A67">
              <w:rPr>
                <w:rFonts w:cs="Tahoma"/>
                <w:szCs w:val="20"/>
              </w:rPr>
              <w:t xml:space="preserve"> – szkolenie doszkalające po 3 miesiącach od instalacji</w:t>
            </w:r>
          </w:p>
        </w:tc>
        <w:tc>
          <w:tcPr>
            <w:tcW w:w="1881" w:type="dxa"/>
          </w:tcPr>
          <w:p w14:paraId="0288D5AF" w14:textId="6E238B9F" w:rsidR="00CC6E59" w:rsidRPr="004A626C" w:rsidRDefault="00CC6E59" w:rsidP="00CC6E59">
            <w:pPr>
              <w:spacing w:after="0" w:line="240" w:lineRule="auto"/>
              <w:ind w:left="360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CC6E59" w:rsidRPr="00C87A67" w14:paraId="5F330BE5" w14:textId="77777777" w:rsidTr="00B505A9">
        <w:tc>
          <w:tcPr>
            <w:tcW w:w="895" w:type="dxa"/>
          </w:tcPr>
          <w:p w14:paraId="052BB004" w14:textId="68C58102" w:rsidR="00CC6E59" w:rsidRPr="00C87A67" w:rsidRDefault="00CC6E59" w:rsidP="00CC6E59">
            <w:pPr>
              <w:spacing w:after="0" w:line="240" w:lineRule="auto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27.</w:t>
            </w:r>
          </w:p>
        </w:tc>
        <w:tc>
          <w:tcPr>
            <w:tcW w:w="5377" w:type="dxa"/>
          </w:tcPr>
          <w:p w14:paraId="780C4684" w14:textId="7BF313E6" w:rsidR="00CC6E59" w:rsidRPr="00C87A67" w:rsidRDefault="00CC6E59" w:rsidP="00CC6E5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Gwarancja: 24 mies</w:t>
            </w:r>
            <w:r>
              <w:rPr>
                <w:rFonts w:cs="Tahoma"/>
                <w:szCs w:val="20"/>
              </w:rPr>
              <w:t>iące</w:t>
            </w:r>
          </w:p>
        </w:tc>
        <w:tc>
          <w:tcPr>
            <w:tcW w:w="1881" w:type="dxa"/>
          </w:tcPr>
          <w:p w14:paraId="09FA3795" w14:textId="64B0391D" w:rsidR="00CC6E59" w:rsidRPr="004A626C" w:rsidRDefault="00CC6E59" w:rsidP="00CC6E59">
            <w:pPr>
              <w:spacing w:after="0" w:line="240" w:lineRule="auto"/>
              <w:ind w:left="360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CC6E59" w:rsidRPr="00C87A67" w14:paraId="609899A4" w14:textId="77777777" w:rsidTr="00B505A9">
        <w:tc>
          <w:tcPr>
            <w:tcW w:w="895" w:type="dxa"/>
          </w:tcPr>
          <w:p w14:paraId="451BABDD" w14:textId="374F4728" w:rsidR="00CC6E59" w:rsidRPr="00C87A67" w:rsidRDefault="00CC6E59" w:rsidP="00CC6E59">
            <w:pPr>
              <w:spacing w:after="0" w:line="240" w:lineRule="auto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28.</w:t>
            </w:r>
          </w:p>
        </w:tc>
        <w:tc>
          <w:tcPr>
            <w:tcW w:w="5377" w:type="dxa"/>
            <w:vAlign w:val="center"/>
          </w:tcPr>
          <w:p w14:paraId="519D1ACB" w14:textId="2A4357E4" w:rsidR="00CC6E59" w:rsidRPr="00C87A67" w:rsidRDefault="00CC6E59" w:rsidP="00CC6E5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Czas dostawy najpóźniej do 15.12.2021</w:t>
            </w:r>
            <w:r>
              <w:rPr>
                <w:rFonts w:cs="Tahoma"/>
                <w:szCs w:val="20"/>
              </w:rPr>
              <w:t xml:space="preserve"> r.</w:t>
            </w:r>
          </w:p>
        </w:tc>
        <w:tc>
          <w:tcPr>
            <w:tcW w:w="1881" w:type="dxa"/>
          </w:tcPr>
          <w:p w14:paraId="1319D1F7" w14:textId="578BEC2B" w:rsidR="00CC6E59" w:rsidRPr="004A626C" w:rsidRDefault="00CC6E59" w:rsidP="00CC6E59">
            <w:pPr>
              <w:spacing w:after="0" w:line="240" w:lineRule="auto"/>
              <w:ind w:left="360"/>
              <w:rPr>
                <w:rFonts w:cs="Tahoma"/>
                <w:szCs w:val="20"/>
              </w:rPr>
            </w:pPr>
            <w:r w:rsidRPr="00B505A9">
              <w:rPr>
                <w:rFonts w:cs="Tahoma"/>
                <w:szCs w:val="20"/>
              </w:rPr>
              <w:t>TAK/NIE</w:t>
            </w:r>
          </w:p>
        </w:tc>
      </w:tr>
      <w:tr w:rsidR="00CC6E59" w:rsidRPr="00C87A67" w14:paraId="00F90FF7" w14:textId="77777777" w:rsidTr="00B505A9">
        <w:tc>
          <w:tcPr>
            <w:tcW w:w="895" w:type="dxa"/>
          </w:tcPr>
          <w:p w14:paraId="3F0A3605" w14:textId="776992E2" w:rsidR="00CC6E59" w:rsidRPr="00C87A67" w:rsidRDefault="00CC6E59" w:rsidP="00CC6E59">
            <w:pPr>
              <w:spacing w:after="0" w:line="240" w:lineRule="auto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29.</w:t>
            </w:r>
          </w:p>
        </w:tc>
        <w:tc>
          <w:tcPr>
            <w:tcW w:w="7258" w:type="dxa"/>
            <w:gridSpan w:val="2"/>
            <w:vAlign w:val="center"/>
          </w:tcPr>
          <w:p w14:paraId="1F4814C4" w14:textId="77777777" w:rsidR="00CC6E59" w:rsidRPr="00C87A67" w:rsidRDefault="00CC6E59" w:rsidP="00CC6E5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b/>
                <w:bCs/>
                <w:szCs w:val="20"/>
              </w:rPr>
              <w:t xml:space="preserve">Oferuję urządzenie </w:t>
            </w:r>
            <w:r w:rsidRPr="00C87A67">
              <w:rPr>
                <w:rFonts w:cs="Tahoma"/>
                <w:szCs w:val="20"/>
              </w:rPr>
              <w:t>(</w:t>
            </w:r>
            <w:r w:rsidRPr="00C87A67">
              <w:rPr>
                <w:rFonts w:cs="Tahoma"/>
                <w:i/>
                <w:szCs w:val="20"/>
              </w:rPr>
              <w:t>wypełnia Wykonawca)</w:t>
            </w:r>
          </w:p>
          <w:p w14:paraId="2B515AEA" w14:textId="77777777" w:rsidR="00CC6E59" w:rsidRPr="00C87A67" w:rsidRDefault="00CC6E59" w:rsidP="00CC6E5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Nazwa: ……………………………………………………………….</w:t>
            </w:r>
          </w:p>
          <w:p w14:paraId="6B198B93" w14:textId="77777777" w:rsidR="00CC6E59" w:rsidRPr="00C87A67" w:rsidRDefault="00CC6E59" w:rsidP="00CC6E5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Producent: ………………………………………………………..</w:t>
            </w:r>
          </w:p>
          <w:p w14:paraId="4E0C7050" w14:textId="77777777" w:rsidR="00CC6E59" w:rsidRPr="00C87A67" w:rsidRDefault="00CC6E59" w:rsidP="00CC6E59">
            <w:pPr>
              <w:spacing w:after="0" w:line="240" w:lineRule="auto"/>
              <w:rPr>
                <w:rFonts w:cs="Tahoma"/>
                <w:szCs w:val="20"/>
              </w:rPr>
            </w:pPr>
            <w:r w:rsidRPr="00C87A67">
              <w:rPr>
                <w:rFonts w:cs="Tahoma"/>
                <w:szCs w:val="20"/>
              </w:rPr>
              <w:t>Model /typ: ………………………………………………………….</w:t>
            </w:r>
          </w:p>
          <w:p w14:paraId="45058CD8" w14:textId="77777777" w:rsidR="00CC6E59" w:rsidRPr="00C87A67" w:rsidRDefault="00CC6E59" w:rsidP="00CC6E59">
            <w:pPr>
              <w:spacing w:after="0" w:line="240" w:lineRule="auto"/>
              <w:ind w:left="360"/>
              <w:rPr>
                <w:rFonts w:cs="Tahoma"/>
                <w:szCs w:val="20"/>
              </w:rPr>
            </w:pPr>
          </w:p>
        </w:tc>
      </w:tr>
    </w:tbl>
    <w:p w14:paraId="2CAA7777" w14:textId="2228AD66" w:rsidR="00F73B54" w:rsidRPr="00C87A67" w:rsidRDefault="00F73B54" w:rsidP="00F73B54">
      <w:pPr>
        <w:pStyle w:val="Adreszwrotnynakopercie"/>
        <w:jc w:val="center"/>
        <w:rPr>
          <w:rFonts w:asciiTheme="minorHAnsi" w:hAnsiTheme="minorHAnsi"/>
          <w:b/>
          <w:sz w:val="20"/>
          <w:u w:val="single"/>
        </w:rPr>
      </w:pPr>
    </w:p>
    <w:p w14:paraId="0D90F17C" w14:textId="77777777" w:rsidR="00C32419" w:rsidRPr="00C87A67" w:rsidRDefault="00C32419" w:rsidP="00F73B54">
      <w:pPr>
        <w:pStyle w:val="Adreszwrotnynakopercie"/>
        <w:jc w:val="center"/>
        <w:rPr>
          <w:rFonts w:asciiTheme="minorHAnsi" w:hAnsiTheme="minorHAnsi"/>
          <w:b/>
          <w:sz w:val="20"/>
          <w:u w:val="single"/>
        </w:rPr>
      </w:pPr>
    </w:p>
    <w:p w14:paraId="360A1B6C" w14:textId="77777777" w:rsidR="00F73B54" w:rsidRPr="00C87A67" w:rsidRDefault="00F73B54" w:rsidP="00F73B54">
      <w:pPr>
        <w:pStyle w:val="Adreszwrotnynakopercie"/>
        <w:jc w:val="center"/>
        <w:rPr>
          <w:rFonts w:asciiTheme="minorHAnsi" w:hAnsiTheme="minorHAnsi" w:cs="Tahoma"/>
          <w:b/>
          <w:sz w:val="20"/>
        </w:rPr>
      </w:pPr>
    </w:p>
    <w:p w14:paraId="77B70430" w14:textId="77777777" w:rsidR="004A626C" w:rsidRPr="00B92BB0" w:rsidRDefault="004A626C" w:rsidP="004A626C">
      <w:pPr>
        <w:pStyle w:val="Adreszwrotnynakopercie"/>
        <w:rPr>
          <w:rFonts w:asciiTheme="minorHAnsi" w:hAnsiTheme="minorHAnsi" w:cs="Tahoma"/>
          <w:b/>
          <w:sz w:val="20"/>
        </w:rPr>
      </w:pPr>
    </w:p>
    <w:p w14:paraId="43289A67" w14:textId="1D1C0348" w:rsidR="004A626C" w:rsidRPr="00DC5644" w:rsidRDefault="004A626C" w:rsidP="006F44F2">
      <w:pPr>
        <w:suppressAutoHyphens/>
        <w:spacing w:after="0" w:line="276" w:lineRule="auto"/>
        <w:ind w:left="-284" w:right="-369" w:firstLine="1"/>
        <w:jc w:val="center"/>
        <w:rPr>
          <w:szCs w:val="20"/>
        </w:rPr>
      </w:pPr>
      <w:bookmarkStart w:id="0" w:name="_Hlk76029742"/>
      <w:bookmarkStart w:id="1" w:name="_Hlk78970689"/>
      <w:r w:rsidRPr="00B92BB0">
        <w:rPr>
          <w:rFonts w:eastAsia="MS Mincho" w:cs="Calibri"/>
          <w:b/>
          <w:i/>
          <w:color w:val="0070C0"/>
          <w:spacing w:val="0"/>
          <w:szCs w:val="20"/>
          <w:lang w:eastAsia="zh-CN"/>
        </w:rPr>
        <w:t>Niniejszy dokument musi być opatrzony przez osobę lub osoby uprawnione do reprezentowania Wykonawcy kwalifikowanym podpisem elektronicznym</w:t>
      </w:r>
      <w:bookmarkEnd w:id="0"/>
    </w:p>
    <w:bookmarkEnd w:id="1"/>
    <w:p w14:paraId="6064EA63" w14:textId="21C8F4F4" w:rsidR="003C567B" w:rsidRPr="00C87A67" w:rsidRDefault="003C567B" w:rsidP="00F73B54">
      <w:pPr>
        <w:rPr>
          <w:szCs w:val="20"/>
        </w:rPr>
      </w:pPr>
    </w:p>
    <w:sectPr w:rsidR="003C567B" w:rsidRPr="00C87A67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5EC3" w14:textId="77777777" w:rsidR="00850698" w:rsidRDefault="00850698" w:rsidP="006747BD">
      <w:pPr>
        <w:spacing w:after="0" w:line="240" w:lineRule="auto"/>
      </w:pPr>
      <w:r>
        <w:separator/>
      </w:r>
    </w:p>
  </w:endnote>
  <w:endnote w:type="continuationSeparator" w:id="0">
    <w:p w14:paraId="63EE5F14" w14:textId="77777777" w:rsidR="00850698" w:rsidRDefault="0085069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Verdana,Arial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162B4EC" w14:textId="77777777" w:rsidR="00CF01C2" w:rsidRDefault="00CF01C2">
            <w:pPr>
              <w:pStyle w:val="Stopka"/>
            </w:pPr>
          </w:p>
          <w:p w14:paraId="42C373DD" w14:textId="77777777" w:rsidR="002C5CFA" w:rsidRDefault="00791C1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4709B504" wp14:editId="393DCF36">
                  <wp:extent cx="5111506" cy="663870"/>
                  <wp:effectExtent l="0" t="0" r="0" b="3175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40AC9E" w14:textId="77777777" w:rsidR="002C5CFA" w:rsidRDefault="002C5CFA">
            <w:pPr>
              <w:pStyle w:val="Stopka"/>
            </w:pPr>
          </w:p>
          <w:p w14:paraId="4F2B0BB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F01C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F01C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6CDE3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C833970" wp14:editId="013F773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ACD9128" wp14:editId="3B46A85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5CE5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9B93E7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29F104F" w14:textId="2B2296E0" w:rsidR="00A4666C" w:rsidRPr="003C567B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3C567B">
                            <w:rPr>
                              <w:lang w:val="en-US"/>
                            </w:rPr>
                            <w:t>E-mail: biuro@port.</w:t>
                          </w:r>
                          <w:r w:rsidR="002C20CC" w:rsidRPr="003C567B">
                            <w:rPr>
                              <w:lang w:val="en-US"/>
                            </w:rPr>
                            <w:t>lukasiewicz.gov</w:t>
                          </w:r>
                          <w:r w:rsidRPr="003C567B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842BD3" w:rsidRPr="003C567B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B418AE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C79ADF5" w14:textId="2BD73C8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2C20CC" w:rsidRPr="002C20CC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D91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0B5CE54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9B93E7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29F104F" w14:textId="2B2296E0" w:rsidR="00A4666C" w:rsidRPr="003C567B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3C567B">
                      <w:rPr>
                        <w:lang w:val="en-US"/>
                      </w:rPr>
                      <w:t>E-mail: biuro@port.</w:t>
                    </w:r>
                    <w:r w:rsidR="002C20CC" w:rsidRPr="003C567B">
                      <w:rPr>
                        <w:lang w:val="en-US"/>
                      </w:rPr>
                      <w:t>lukasiewicz.gov</w:t>
                    </w:r>
                    <w:r w:rsidRPr="003C567B">
                      <w:rPr>
                        <w:lang w:val="en-US"/>
                      </w:rPr>
                      <w:t xml:space="preserve">.pl | NIP: 894 314 05 23, REGON: </w:t>
                    </w:r>
                    <w:r w:rsidR="00842BD3" w:rsidRPr="003C567B">
                      <w:rPr>
                        <w:lang w:val="en-US"/>
                      </w:rPr>
                      <w:t>386585168</w:t>
                    </w:r>
                  </w:p>
                  <w:p w14:paraId="3B418AE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C79ADF5" w14:textId="2BD73C8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2C20CC" w:rsidRPr="002C20CC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5AB3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39B5" w14:textId="77777777" w:rsidR="00850698" w:rsidRDefault="00850698" w:rsidP="006747BD">
      <w:pPr>
        <w:spacing w:after="0" w:line="240" w:lineRule="auto"/>
      </w:pPr>
      <w:r>
        <w:separator/>
      </w:r>
    </w:p>
  </w:footnote>
  <w:footnote w:type="continuationSeparator" w:id="0">
    <w:p w14:paraId="67FFBA07" w14:textId="77777777" w:rsidR="00850698" w:rsidRDefault="00850698" w:rsidP="006747BD">
      <w:pPr>
        <w:spacing w:after="0" w:line="240" w:lineRule="auto"/>
      </w:pPr>
      <w:r>
        <w:continuationSeparator/>
      </w:r>
    </w:p>
  </w:footnote>
  <w:footnote w:id="1">
    <w:p w14:paraId="556601A9" w14:textId="0DBC87AF" w:rsidR="00954B22" w:rsidRDefault="00954B22">
      <w:pPr>
        <w:pStyle w:val="Tekstprzypisudolnego"/>
      </w:pPr>
      <w:r>
        <w:rPr>
          <w:rStyle w:val="Odwoanieprzypisudolnego"/>
        </w:rPr>
        <w:footnoteRef/>
      </w:r>
      <w:r>
        <w:t xml:space="preserve"> Równoważność systemu </w:t>
      </w:r>
      <w:r w:rsidRPr="00954B22">
        <w:t>opisan</w:t>
      </w:r>
      <w:r w:rsidR="00B579AA">
        <w:t>a</w:t>
      </w:r>
      <w:r>
        <w:t xml:space="preserve"> został</w:t>
      </w:r>
      <w:r w:rsidR="00B579AA">
        <w:t>a</w:t>
      </w:r>
      <w:r w:rsidRPr="00954B22">
        <w:t xml:space="preserve"> w załączniku do OPZ.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C579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881BAA7" wp14:editId="23E298B9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0B096B"/>
    <w:multiLevelType w:val="hybridMultilevel"/>
    <w:tmpl w:val="B0D8DDEE"/>
    <w:lvl w:ilvl="0" w:tplc="B4DA9F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F4A9C"/>
    <w:multiLevelType w:val="hybridMultilevel"/>
    <w:tmpl w:val="9DD0B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B0DBE"/>
    <w:multiLevelType w:val="hybridMultilevel"/>
    <w:tmpl w:val="ACF8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3917"/>
    <w:rsid w:val="00046694"/>
    <w:rsid w:val="000466B0"/>
    <w:rsid w:val="00070438"/>
    <w:rsid w:val="00077647"/>
    <w:rsid w:val="000B2641"/>
    <w:rsid w:val="000B7671"/>
    <w:rsid w:val="000C4801"/>
    <w:rsid w:val="000C7E2E"/>
    <w:rsid w:val="000D2F0F"/>
    <w:rsid w:val="000D7032"/>
    <w:rsid w:val="000E3803"/>
    <w:rsid w:val="00102C61"/>
    <w:rsid w:val="001132C5"/>
    <w:rsid w:val="00134929"/>
    <w:rsid w:val="00141A3E"/>
    <w:rsid w:val="001443A8"/>
    <w:rsid w:val="001765FF"/>
    <w:rsid w:val="001A0BD2"/>
    <w:rsid w:val="001C6203"/>
    <w:rsid w:val="001D04CE"/>
    <w:rsid w:val="0020513B"/>
    <w:rsid w:val="0021282E"/>
    <w:rsid w:val="00231524"/>
    <w:rsid w:val="0027350E"/>
    <w:rsid w:val="002C20CC"/>
    <w:rsid w:val="002C5CFA"/>
    <w:rsid w:val="002D48BE"/>
    <w:rsid w:val="002F2227"/>
    <w:rsid w:val="002F4540"/>
    <w:rsid w:val="003317CA"/>
    <w:rsid w:val="00335F9F"/>
    <w:rsid w:val="00344572"/>
    <w:rsid w:val="00346C00"/>
    <w:rsid w:val="00354A18"/>
    <w:rsid w:val="00392DFA"/>
    <w:rsid w:val="003965CD"/>
    <w:rsid w:val="003B1272"/>
    <w:rsid w:val="003C567B"/>
    <w:rsid w:val="003E69AF"/>
    <w:rsid w:val="003F3446"/>
    <w:rsid w:val="003F4BA3"/>
    <w:rsid w:val="00436D4A"/>
    <w:rsid w:val="00451F6A"/>
    <w:rsid w:val="004A626C"/>
    <w:rsid w:val="004D084F"/>
    <w:rsid w:val="004F5805"/>
    <w:rsid w:val="004F7600"/>
    <w:rsid w:val="00526CDD"/>
    <w:rsid w:val="00555CD5"/>
    <w:rsid w:val="0057711A"/>
    <w:rsid w:val="005D102F"/>
    <w:rsid w:val="005D1495"/>
    <w:rsid w:val="005E65BB"/>
    <w:rsid w:val="00655C2B"/>
    <w:rsid w:val="00664E7D"/>
    <w:rsid w:val="00670DC0"/>
    <w:rsid w:val="006747BD"/>
    <w:rsid w:val="006749EF"/>
    <w:rsid w:val="006919BD"/>
    <w:rsid w:val="006B0443"/>
    <w:rsid w:val="006C3358"/>
    <w:rsid w:val="006D6DE5"/>
    <w:rsid w:val="006E5990"/>
    <w:rsid w:val="006F44F2"/>
    <w:rsid w:val="006F645A"/>
    <w:rsid w:val="00721B01"/>
    <w:rsid w:val="0072299B"/>
    <w:rsid w:val="00725116"/>
    <w:rsid w:val="00764305"/>
    <w:rsid w:val="007865EC"/>
    <w:rsid w:val="00791C1D"/>
    <w:rsid w:val="007E2145"/>
    <w:rsid w:val="00805DF6"/>
    <w:rsid w:val="00821F16"/>
    <w:rsid w:val="008368C0"/>
    <w:rsid w:val="00842BD3"/>
    <w:rsid w:val="0084396A"/>
    <w:rsid w:val="008442CF"/>
    <w:rsid w:val="00847A51"/>
    <w:rsid w:val="00850698"/>
    <w:rsid w:val="00854B7B"/>
    <w:rsid w:val="008B596E"/>
    <w:rsid w:val="008C1729"/>
    <w:rsid w:val="008C1C21"/>
    <w:rsid w:val="008C75DD"/>
    <w:rsid w:val="008F027B"/>
    <w:rsid w:val="008F0B16"/>
    <w:rsid w:val="008F209D"/>
    <w:rsid w:val="00954B22"/>
    <w:rsid w:val="00967A61"/>
    <w:rsid w:val="0099379C"/>
    <w:rsid w:val="009B5930"/>
    <w:rsid w:val="009D4C4D"/>
    <w:rsid w:val="009D6BAD"/>
    <w:rsid w:val="00A03970"/>
    <w:rsid w:val="00A05E86"/>
    <w:rsid w:val="00A06427"/>
    <w:rsid w:val="00A36F46"/>
    <w:rsid w:val="00A42144"/>
    <w:rsid w:val="00A4666C"/>
    <w:rsid w:val="00A52C29"/>
    <w:rsid w:val="00A6320A"/>
    <w:rsid w:val="00A661DD"/>
    <w:rsid w:val="00A72214"/>
    <w:rsid w:val="00AA6937"/>
    <w:rsid w:val="00AB28F7"/>
    <w:rsid w:val="00AE25AF"/>
    <w:rsid w:val="00B505A9"/>
    <w:rsid w:val="00B55B01"/>
    <w:rsid w:val="00B579AA"/>
    <w:rsid w:val="00B61F8A"/>
    <w:rsid w:val="00C00EE9"/>
    <w:rsid w:val="00C04233"/>
    <w:rsid w:val="00C27B78"/>
    <w:rsid w:val="00C32419"/>
    <w:rsid w:val="00C736D5"/>
    <w:rsid w:val="00C77C63"/>
    <w:rsid w:val="00C87A67"/>
    <w:rsid w:val="00CA7EA9"/>
    <w:rsid w:val="00CC6E59"/>
    <w:rsid w:val="00CF01C2"/>
    <w:rsid w:val="00CF156B"/>
    <w:rsid w:val="00D005B3"/>
    <w:rsid w:val="00D00717"/>
    <w:rsid w:val="00D06D36"/>
    <w:rsid w:val="00D11119"/>
    <w:rsid w:val="00D40690"/>
    <w:rsid w:val="00D40D63"/>
    <w:rsid w:val="00D54CFC"/>
    <w:rsid w:val="00D944E3"/>
    <w:rsid w:val="00DA52A1"/>
    <w:rsid w:val="00DB7DFB"/>
    <w:rsid w:val="00DC3ECE"/>
    <w:rsid w:val="00DC4A26"/>
    <w:rsid w:val="00DF7C10"/>
    <w:rsid w:val="00E01B68"/>
    <w:rsid w:val="00E13E0E"/>
    <w:rsid w:val="00E20A95"/>
    <w:rsid w:val="00E41993"/>
    <w:rsid w:val="00E504BE"/>
    <w:rsid w:val="00EB3F57"/>
    <w:rsid w:val="00EC128C"/>
    <w:rsid w:val="00ED7972"/>
    <w:rsid w:val="00EE493C"/>
    <w:rsid w:val="00EF2DA3"/>
    <w:rsid w:val="00F025AA"/>
    <w:rsid w:val="00F52497"/>
    <w:rsid w:val="00F64EEB"/>
    <w:rsid w:val="00F73B54"/>
    <w:rsid w:val="00FB2712"/>
    <w:rsid w:val="00FE0474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515DD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dreszwrotnynakopercie">
    <w:name w:val="envelope return"/>
    <w:basedOn w:val="Normalny"/>
    <w:rsid w:val="00F73B54"/>
    <w:pPr>
      <w:spacing w:after="0" w:line="240" w:lineRule="auto"/>
      <w:jc w:val="left"/>
    </w:pPr>
    <w:rPr>
      <w:rFonts w:ascii="Arial" w:eastAsia="Times New Roman" w:hAnsi="Arial" w:cs="Times New Roman"/>
      <w:color w:val="auto"/>
      <w:spacing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3B54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customStyle="1" w:styleId="Podstawowyakapitowy">
    <w:name w:val="[Podstawowy akapitowy]"/>
    <w:basedOn w:val="Normalny"/>
    <w:uiPriority w:val="99"/>
    <w:rsid w:val="00102C61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C61"/>
    <w:pPr>
      <w:spacing w:after="200" w:line="240" w:lineRule="auto"/>
      <w:jc w:val="left"/>
    </w:pPr>
    <w:rPr>
      <w:color w:val="auto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C61"/>
    <w:rPr>
      <w:sz w:val="20"/>
      <w:szCs w:val="20"/>
    </w:rPr>
  </w:style>
  <w:style w:type="paragraph" w:customStyle="1" w:styleId="Default">
    <w:name w:val="Default"/>
    <w:rsid w:val="000D7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A67"/>
    <w:pPr>
      <w:spacing w:after="280"/>
      <w:jc w:val="both"/>
    </w:pPr>
    <w:rPr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A67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B2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B22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0E74-47EF-4C33-8E7C-9F23D696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 | Łukasiewicz - PORT Polski Ośrodek Rozwoju Technologii</cp:lastModifiedBy>
  <cp:revision>7</cp:revision>
  <cp:lastPrinted>2020-02-10T12:13:00Z</cp:lastPrinted>
  <dcterms:created xsi:type="dcterms:W3CDTF">2021-08-10T10:15:00Z</dcterms:created>
  <dcterms:modified xsi:type="dcterms:W3CDTF">2021-08-25T08:26:00Z</dcterms:modified>
</cp:coreProperties>
</file>