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6C" w:rsidRPr="00F03AFF" w:rsidRDefault="009F606C" w:rsidP="009F606C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9F606C" w:rsidRPr="00F03AFF" w:rsidRDefault="009F606C" w:rsidP="009F606C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45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WŁ</w:t>
      </w:r>
    </w:p>
    <w:p w:rsidR="009F606C" w:rsidRPr="00A54EA6" w:rsidRDefault="009F606C" w:rsidP="009F606C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9F606C" w:rsidRPr="00A54EA6" w:rsidRDefault="009F606C" w:rsidP="009F606C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9F606C" w:rsidRPr="00A4407F" w:rsidRDefault="009F606C" w:rsidP="009F606C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t xml:space="preserve">OŚWIADCZENIE WYKONAWCY/PODWYKONAWCY* O BRAKU PODSTAW </w:t>
      </w: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br/>
        <w:t>DO WYKLUCZENIA I SPEŁNIENIA WARUNKÓW UDZIAŁU W POSTĘPOWANIU</w:t>
      </w:r>
    </w:p>
    <w:p w:rsidR="009F606C" w:rsidRPr="00A4407F" w:rsidRDefault="009F606C" w:rsidP="009F606C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9F606C" w:rsidRPr="00A4407F" w:rsidRDefault="009F606C" w:rsidP="009F606C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9F606C" w:rsidRPr="00A4407F" w:rsidRDefault="009F606C" w:rsidP="009F606C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4407F">
        <w:rPr>
          <w:rFonts w:eastAsia="Times New Roman" w:cs="Times New Roman"/>
          <w:lang w:bidi="ar-SA"/>
        </w:rPr>
        <w:t xml:space="preserve">– </w:t>
      </w:r>
      <w:r w:rsidRPr="00A4407F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A4407F">
        <w:rPr>
          <w:rFonts w:eastAsia="Calibri" w:cs="Times New Roman"/>
          <w:b/>
          <w:kern w:val="0"/>
          <w:lang w:eastAsia="en-US" w:bidi="ar-SA"/>
        </w:rPr>
        <w:t>(Dz. U. z 20</w:t>
      </w:r>
      <w:r>
        <w:rPr>
          <w:rFonts w:eastAsia="Calibri" w:cs="Times New Roman"/>
          <w:b/>
          <w:kern w:val="0"/>
          <w:lang w:eastAsia="en-US" w:bidi="ar-SA"/>
        </w:rPr>
        <w:t>24</w:t>
      </w:r>
      <w:r w:rsidRPr="00A4407F">
        <w:rPr>
          <w:rFonts w:eastAsia="Calibri" w:cs="Times New Roman"/>
          <w:b/>
          <w:kern w:val="0"/>
          <w:lang w:eastAsia="en-US" w:bidi="ar-SA"/>
        </w:rPr>
        <w:t xml:space="preserve"> r., poz. 1</w:t>
      </w:r>
      <w:r>
        <w:rPr>
          <w:rFonts w:eastAsia="Calibri" w:cs="Times New Roman"/>
          <w:b/>
          <w:kern w:val="0"/>
          <w:lang w:eastAsia="en-US" w:bidi="ar-SA"/>
        </w:rPr>
        <w:t>320</w:t>
      </w:r>
      <w:r w:rsidRPr="00A4407F">
        <w:rPr>
          <w:rFonts w:eastAsia="Calibri" w:cs="Times New Roman"/>
          <w:b/>
          <w:kern w:val="0"/>
          <w:lang w:eastAsia="en-US" w:bidi="ar-SA"/>
        </w:rPr>
        <w:t>)</w:t>
      </w:r>
    </w:p>
    <w:p w:rsidR="009F606C" w:rsidRPr="00A54EA6" w:rsidRDefault="009F606C" w:rsidP="009F606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9F606C" w:rsidRPr="00A54EA6" w:rsidRDefault="009F606C" w:rsidP="009F606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9F606C" w:rsidRPr="00A54EA6" w:rsidRDefault="009F606C" w:rsidP="009F606C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146"/>
        <w:gridCol w:w="6381"/>
      </w:tblGrid>
      <w:tr w:rsidR="009F606C" w:rsidRPr="00A54EA6" w:rsidTr="00113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9F606C" w:rsidRPr="00A54EA6" w:rsidTr="00113772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9F606C" w:rsidRPr="00A54EA6" w:rsidTr="00113772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:rsidR="009F606C" w:rsidRPr="009E2F53" w:rsidRDefault="009F606C" w:rsidP="001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D</w:t>
            </w:r>
            <w:r w:rsidRPr="009E2F53">
              <w:rPr>
                <w:rFonts w:eastAsia="Times New Roman" w:cs="Times New Roman"/>
                <w:kern w:val="0"/>
                <w:lang w:eastAsia="ar-SA" w:bidi="ar-SA"/>
              </w:rPr>
              <w:t>ostawę komputerów przenośnych z matrycą 13,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3ʺ</w:t>
            </w:r>
            <w:r w:rsidRPr="009E2F53">
              <w:rPr>
                <w:rFonts w:eastAsia="Times New Roman" w:cs="Times New Roman"/>
                <w:kern w:val="0"/>
                <w:lang w:eastAsia="ar-SA" w:bidi="ar-SA"/>
              </w:rPr>
              <w:t xml:space="preserve"> do Centrum Szkolenia Policji w Legionowie w ramach pierwszego wyposażenia budynku numer 4</w:t>
            </w:r>
          </w:p>
        </w:tc>
      </w:tr>
      <w:tr w:rsidR="009F606C" w:rsidRPr="00A54EA6" w:rsidTr="00113772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45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WŁ</w:t>
            </w:r>
          </w:p>
        </w:tc>
      </w:tr>
    </w:tbl>
    <w:p w:rsidR="009F606C" w:rsidRPr="00A54EA6" w:rsidRDefault="009F606C" w:rsidP="009F606C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9F606C" w:rsidRPr="00A54EA6" w:rsidTr="00113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9F606C" w:rsidRPr="00A54EA6" w:rsidTr="00113772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9F606C" w:rsidRPr="00A54EA6" w:rsidTr="00113772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9F606C" w:rsidRPr="00A54EA6" w:rsidTr="00113772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9F606C" w:rsidRPr="00A54EA6" w:rsidTr="00113772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9F606C" w:rsidRPr="00A54EA6" w:rsidTr="00113772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9F606C" w:rsidRPr="00A54EA6" w:rsidTr="00113772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9F606C" w:rsidRPr="00A54EA6" w:rsidTr="00113772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9F606C" w:rsidRPr="00A54EA6" w:rsidRDefault="009F606C" w:rsidP="0011377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9F606C" w:rsidRPr="00A54EA6" w:rsidTr="00113772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9F606C" w:rsidRPr="00A54EA6" w:rsidTr="00113772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9F606C" w:rsidRPr="00A54EA6" w:rsidTr="001137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9F606C" w:rsidRPr="00A54EA6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9F606C" w:rsidRPr="00A54EA6" w:rsidRDefault="009F606C" w:rsidP="00113772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9F606C" w:rsidRPr="00A54EA6" w:rsidRDefault="009F606C" w:rsidP="00113772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9F606C" w:rsidRPr="00A54EA6" w:rsidRDefault="009F606C" w:rsidP="00113772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9F606C" w:rsidRPr="00A54EA6" w:rsidRDefault="009F606C" w:rsidP="00113772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9F606C" w:rsidRPr="00A54EA6" w:rsidRDefault="009F606C" w:rsidP="00113772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</w:p>
          <w:p w:rsidR="009F606C" w:rsidRPr="00A54EA6" w:rsidRDefault="009F606C" w:rsidP="00113772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</w:pPr>
          </w:p>
          <w:p w:rsidR="009F606C" w:rsidRDefault="009F606C" w:rsidP="00113772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9F606C" w:rsidRPr="00A54EA6" w:rsidRDefault="009F606C" w:rsidP="00113772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9F606C" w:rsidRPr="009D2376" w:rsidRDefault="009F606C" w:rsidP="009F606C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9F606C" w:rsidRPr="009D2376" w:rsidSect="00C136F1">
          <w:footerReference w:type="default" r:id="rId8"/>
          <w:pgSz w:w="11906" w:h="16838" w:code="9"/>
          <w:pgMar w:top="1418" w:right="993" w:bottom="1276" w:left="1418" w:header="0" w:footer="709" w:gutter="0"/>
          <w:cols w:space="708"/>
          <w:docGrid w:linePitch="360"/>
        </w:sect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9F606C" w:rsidRPr="00222EE2" w:rsidTr="00113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0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9F606C" w:rsidRPr="00222EE2" w:rsidRDefault="009F606C" w:rsidP="00113772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9F606C" w:rsidRPr="00222EE2" w:rsidTr="001137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2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3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9F606C" w:rsidRPr="00222EE2" w:rsidTr="00113772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 w:val="restart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9F606C" w:rsidRPr="00222EE2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9F606C" w:rsidRPr="00222EE2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9F606C" w:rsidRPr="00222EE2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9F606C" w:rsidRPr="00222EE2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9F606C" w:rsidRPr="00222EE2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9F606C" w:rsidRPr="00222EE2" w:rsidTr="00113772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9F606C" w:rsidRPr="00222EE2" w:rsidTr="00113772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9F606C" w:rsidRPr="00222EE2" w:rsidRDefault="009F606C" w:rsidP="009F606C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9F606C" w:rsidRPr="00222EE2" w:rsidTr="00113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1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9F606C" w:rsidRPr="00222EE2" w:rsidTr="001137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9F606C" w:rsidRPr="00222EE2" w:rsidRDefault="009F606C" w:rsidP="00113772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9F606C" w:rsidRPr="00222EE2" w:rsidRDefault="009F606C" w:rsidP="00113772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9F606C" w:rsidRPr="00222EE2" w:rsidRDefault="009F606C" w:rsidP="00113772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9F606C" w:rsidRPr="00222EE2" w:rsidRDefault="009F606C" w:rsidP="00113772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9F606C" w:rsidRPr="00222EE2" w:rsidRDefault="009F606C" w:rsidP="00113772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4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w postępowaniu.</w:t>
            </w:r>
          </w:p>
        </w:tc>
        <w:tc>
          <w:tcPr>
            <w:tcW w:w="3969" w:type="dxa"/>
          </w:tcPr>
          <w:p w:rsidR="009F606C" w:rsidRPr="001812AB" w:rsidRDefault="009F606C" w:rsidP="0011377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9F606C" w:rsidRPr="001812AB" w:rsidRDefault="009F606C" w:rsidP="0011377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9F606C" w:rsidRPr="001812AB" w:rsidRDefault="009F606C" w:rsidP="0011377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9F606C" w:rsidRPr="001812AB" w:rsidRDefault="009F606C" w:rsidP="0011377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9F606C" w:rsidRPr="001812AB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1"/>
      <w:tr w:rsidR="009F606C" w:rsidRPr="00A54EA6" w:rsidTr="001137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9F606C" w:rsidRPr="005B4613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Oświadczam, że zachodzą w stosunku do mnie podstawy wykluczenia z postępowania na podstawie art.  ………... ustawy </w:t>
            </w:r>
            <w:r w:rsidRPr="005B4613">
              <w:rPr>
                <w:rFonts w:eastAsia="Times New Roman" w:cs="Times New Roman"/>
                <w:bCs w:val="0"/>
                <w:i/>
                <w:kern w:val="0"/>
                <w:sz w:val="21"/>
                <w:szCs w:val="21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 </w:t>
            </w:r>
          </w:p>
          <w:p w:rsidR="009F606C" w:rsidRPr="005B4613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9F606C" w:rsidRPr="00A54EA6" w:rsidRDefault="009F606C" w:rsidP="00113772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9F606C" w:rsidRPr="001812AB" w:rsidRDefault="009F606C" w:rsidP="00113772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9F606C" w:rsidRPr="001812AB" w:rsidRDefault="009F606C" w:rsidP="00113772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9F606C" w:rsidRPr="00222EE2" w:rsidRDefault="009F606C" w:rsidP="009F606C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  <w:gridCol w:w="265"/>
      </w:tblGrid>
      <w:tr w:rsidR="009F606C" w:rsidRPr="00222EE2" w:rsidTr="0011377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5" w:type="dxa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9F606C" w:rsidRPr="00222EE2" w:rsidTr="00113772">
        <w:trPr>
          <w:gridAfter w:val="1"/>
          <w:wAfter w:w="26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right w:val="single" w:sz="8" w:space="0" w:color="808080"/>
            </w:tcBorders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9F606C" w:rsidRPr="00222EE2" w:rsidRDefault="009F606C" w:rsidP="0011377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bookmarkEnd w:id="0"/>
      <w:tr w:rsidR="009F606C" w:rsidRPr="00222EE2" w:rsidTr="00113772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3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</w:tbl>
    <w:p w:rsidR="009F606C" w:rsidRPr="00222EE2" w:rsidRDefault="009F606C" w:rsidP="009F606C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9F606C" w:rsidRPr="00222EE2" w:rsidTr="00113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9F606C" w:rsidRPr="00222EE2" w:rsidRDefault="009F606C" w:rsidP="0011377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9F606C" w:rsidRPr="00222EE2" w:rsidRDefault="009F606C" w:rsidP="00113772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9F606C" w:rsidRPr="00222EE2" w:rsidRDefault="009F606C" w:rsidP="00113772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9F606C" w:rsidRPr="00222EE2" w:rsidRDefault="009F606C" w:rsidP="00113772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9F606C" w:rsidRPr="00222EE2" w:rsidRDefault="009F606C" w:rsidP="00113772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9F606C" w:rsidRPr="00222EE2" w:rsidTr="001137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F606C" w:rsidRPr="00222EE2" w:rsidRDefault="009F606C" w:rsidP="0011377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Wykonawca zobowiązany jest uzupełnić oświadczenie w części 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E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tylko w przypadku, gdy zamierza zlecić wykonanie części zamówienia Podwykonawcom.</w:t>
            </w:r>
          </w:p>
        </w:tc>
      </w:tr>
    </w:tbl>
    <w:p w:rsidR="009F606C" w:rsidRPr="00222EE2" w:rsidRDefault="009F606C" w:rsidP="009F606C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9F606C" w:rsidRPr="00222EE2" w:rsidRDefault="009F606C" w:rsidP="009F606C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9F606C" w:rsidRPr="00222EE2" w:rsidRDefault="009F606C" w:rsidP="009F606C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Oświadczam, że wszystkie informacje podane w powyższych oświadczeniach są aktualne i zgodne </w:t>
      </w:r>
      <w:r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br/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 prawdą oraz zostały przedstawione z pełną świadom</w:t>
      </w:r>
      <w:r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ością konsekwencji wprowadzenia </w:t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Zamawiającego w błąd przy przedstawianiu informacji.</w:t>
      </w:r>
    </w:p>
    <w:p w:rsidR="009F606C" w:rsidRPr="00A54EA6" w:rsidRDefault="009F606C" w:rsidP="009F606C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9F606C" w:rsidRPr="00A54EA6" w:rsidRDefault="009F606C" w:rsidP="009F606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9F606C" w:rsidRPr="00A54EA6" w:rsidRDefault="009F606C" w:rsidP="009F606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4EA6"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)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</w:p>
    <w:p w:rsidR="009F606C" w:rsidRPr="00A54EA6" w:rsidRDefault="009F606C" w:rsidP="009F606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9F606C" w:rsidRPr="00A54EA6" w:rsidRDefault="009F606C" w:rsidP="009F606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9F606C" w:rsidRPr="00A54EA6" w:rsidRDefault="009F606C" w:rsidP="009F606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9F606C" w:rsidRPr="00A54EA6" w:rsidRDefault="009F606C" w:rsidP="009F606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9F606C" w:rsidRDefault="009F606C" w:rsidP="009F606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9F606C" w:rsidRDefault="009F606C" w:rsidP="009F606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9F606C" w:rsidRPr="00A54EA6" w:rsidRDefault="009F606C" w:rsidP="009F606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9F606C" w:rsidRPr="00A54EA6" w:rsidRDefault="009F606C" w:rsidP="009F606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9F606C" w:rsidRPr="00A54EA6" w:rsidRDefault="009F606C" w:rsidP="009F606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9F606C" w:rsidRPr="00A54EA6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Pr="00A54EA6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Pr="00A54EA6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9F606C" w:rsidRPr="00A54EA6" w:rsidRDefault="009F606C" w:rsidP="009F606C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  <w:bookmarkStart w:id="2" w:name="_GoBack"/>
      <w:bookmarkEnd w:id="2"/>
    </w:p>
    <w:sectPr w:rsidR="00E666DA" w:rsidSect="006F4D90">
      <w:footerReference w:type="default" r:id="rId9"/>
      <w:pgSz w:w="11906" w:h="16838"/>
      <w:pgMar w:top="709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3A" w:rsidRDefault="00E4013A" w:rsidP="000F1D63">
      <w:r>
        <w:separator/>
      </w:r>
    </w:p>
  </w:endnote>
  <w:endnote w:type="continuationSeparator" w:id="0">
    <w:p w:rsidR="00E4013A" w:rsidRDefault="00E4013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6C" w:rsidRPr="00FC4DFB" w:rsidRDefault="009F606C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9F606C" w:rsidRPr="00F56D73" w:rsidRDefault="009F606C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FC4DFB" w:rsidRDefault="00830476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830476" w:rsidRPr="00F56D73" w:rsidRDefault="00830476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3A" w:rsidRDefault="00E4013A" w:rsidP="000F1D63">
      <w:r>
        <w:separator/>
      </w:r>
    </w:p>
  </w:footnote>
  <w:footnote w:type="continuationSeparator" w:id="0">
    <w:p w:rsidR="00E4013A" w:rsidRDefault="00E4013A" w:rsidP="000F1D63">
      <w:r>
        <w:continuationSeparator/>
      </w:r>
    </w:p>
  </w:footnote>
  <w:footnote w:id="1">
    <w:p w:rsidR="009F606C" w:rsidRPr="00A54EA6" w:rsidRDefault="009F606C" w:rsidP="009F60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:rsidR="009F606C" w:rsidRPr="00A54EA6" w:rsidRDefault="009F606C" w:rsidP="009F606C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9F606C" w:rsidRPr="00A54EA6" w:rsidRDefault="009F606C" w:rsidP="009F606C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9F606C" w:rsidRPr="00A54EA6" w:rsidRDefault="009F606C" w:rsidP="009F60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9F606C" w:rsidRPr="00A54EA6" w:rsidRDefault="009F606C" w:rsidP="009F60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9F606C" w:rsidRPr="00A54EA6" w:rsidRDefault="009F606C" w:rsidP="009F60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</w:t>
      </w:r>
      <w:proofErr w:type="spellStart"/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9F606C" w:rsidRDefault="009F606C" w:rsidP="009F606C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6C4D7E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120, 295,1598, z 2024 r., poz. 619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4EF6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560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4E44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842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639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73C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20CC"/>
    <w:rsid w:val="00673107"/>
    <w:rsid w:val="006735C9"/>
    <w:rsid w:val="00673F34"/>
    <w:rsid w:val="006744DF"/>
    <w:rsid w:val="0067556F"/>
    <w:rsid w:val="00675826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4D90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6AE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48E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06C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4F7F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013A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B17F-24B7-4A91-ABBD-5792BBD8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2024-10-01T08:31:00Z</cp:lastPrinted>
  <dcterms:created xsi:type="dcterms:W3CDTF">2024-10-01T11:48:00Z</dcterms:created>
  <dcterms:modified xsi:type="dcterms:W3CDTF">2024-10-01T12:26:00Z</dcterms:modified>
</cp:coreProperties>
</file>