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3620EC89"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E10B4D">
        <w:rPr>
          <w:rFonts w:eastAsiaTheme="majorEastAsia"/>
          <w:caps/>
          <w:spacing w:val="20"/>
          <w:lang w:eastAsia="en-US"/>
        </w:rPr>
        <w:t>ZP.271.</w:t>
      </w:r>
      <w:r w:rsidR="00583030">
        <w:rPr>
          <w:rFonts w:eastAsiaTheme="majorEastAsia"/>
          <w:caps/>
          <w:spacing w:val="20"/>
          <w:lang w:eastAsia="en-US"/>
        </w:rPr>
        <w:t>2</w:t>
      </w:r>
      <w:r w:rsidR="00980372">
        <w:rPr>
          <w:rFonts w:eastAsiaTheme="majorEastAsia"/>
          <w:caps/>
          <w:spacing w:val="20"/>
          <w:lang w:eastAsia="en-US"/>
        </w:rPr>
        <w:t>.202</w:t>
      </w:r>
      <w:r w:rsidR="00583030">
        <w:rPr>
          <w:rFonts w:eastAsiaTheme="majorEastAsia"/>
          <w:caps/>
          <w:spacing w:val="20"/>
          <w:lang w:eastAsia="en-US"/>
        </w:rPr>
        <w:t>4</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20147363" w:rsidR="00C95BE9" w:rsidRPr="00A209C9" w:rsidRDefault="00597E80" w:rsidP="00A209C9">
      <w:pPr>
        <w:jc w:val="both"/>
        <w:outlineLvl w:val="5"/>
        <w:rPr>
          <w:rFonts w:eastAsiaTheme="majorEastAsia"/>
          <w:caps/>
          <w:spacing w:val="10"/>
          <w:lang w:eastAsia="en-US"/>
        </w:rPr>
      </w:pPr>
      <w:bookmarkStart w:id="0" w:name="_Hlk160613821"/>
      <w:r>
        <w:rPr>
          <w:rFonts w:eastAsiaTheme="majorEastAsia"/>
          <w:b/>
          <w:caps/>
          <w:spacing w:val="10"/>
          <w:lang w:eastAsia="en-US"/>
        </w:rPr>
        <w:t>„</w:t>
      </w:r>
      <w:r w:rsidR="00C95BE9" w:rsidRPr="00597E80">
        <w:rPr>
          <w:rFonts w:eastAsiaTheme="majorEastAsia"/>
          <w:b/>
          <w:caps/>
          <w:spacing w:val="10"/>
          <w:lang w:eastAsia="en-US"/>
        </w:rPr>
        <w:t xml:space="preserve">Przebudowa drogi </w:t>
      </w:r>
      <w:r w:rsidR="00583030">
        <w:rPr>
          <w:rFonts w:eastAsiaTheme="majorEastAsia"/>
          <w:b/>
          <w:caps/>
          <w:spacing w:val="10"/>
          <w:lang w:eastAsia="en-US"/>
        </w:rPr>
        <w:t>powiatowej na odcinku świerzno-gostyń</w:t>
      </w:r>
      <w:r w:rsidRPr="00597E80">
        <w:rPr>
          <w:rFonts w:eastAsiaTheme="majorEastAsia"/>
          <w:b/>
          <w:caps/>
          <w:spacing w:val="10"/>
          <w:lang w:eastAsia="en-US"/>
        </w:rPr>
        <w:t>”</w:t>
      </w:r>
      <w:r w:rsidR="00583030">
        <w:rPr>
          <w:rFonts w:eastAsiaTheme="majorEastAsia"/>
          <w:b/>
          <w:caps/>
          <w:spacing w:val="10"/>
          <w:lang w:eastAsia="en-US"/>
        </w:rPr>
        <w:t xml:space="preserve"> </w:t>
      </w:r>
      <w:r>
        <w:rPr>
          <w:rFonts w:eastAsiaTheme="majorEastAsia"/>
          <w:spacing w:val="10"/>
          <w:lang w:eastAsia="en-US"/>
        </w:rPr>
        <w:t xml:space="preserve">W FORMULE ZAPROJEKTUJ I WYBUDUJ </w:t>
      </w:r>
      <w:r w:rsidRPr="00A209C9">
        <w:rPr>
          <w:rFonts w:eastAsiaTheme="majorEastAsia"/>
          <w:spacing w:val="10"/>
          <w:lang w:eastAsia="en-US"/>
        </w:rPr>
        <w:t xml:space="preserv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16F0111F"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w:t>
      </w:r>
      <w:r w:rsidR="003A25BB">
        <w:rPr>
          <w:rFonts w:eastAsiaTheme="majorEastAsia"/>
          <w:lang w:eastAsia="en-US"/>
        </w:rPr>
        <w:t xml:space="preserve"> z 202</w:t>
      </w:r>
      <w:r w:rsidR="00C86F14">
        <w:rPr>
          <w:rFonts w:eastAsiaTheme="majorEastAsia"/>
          <w:lang w:eastAsia="en-US"/>
        </w:rPr>
        <w:t>3</w:t>
      </w:r>
      <w:r w:rsidR="003A25BB">
        <w:rPr>
          <w:rFonts w:eastAsiaTheme="majorEastAsia"/>
          <w:lang w:eastAsia="en-US"/>
        </w:rPr>
        <w:t xml:space="preserve"> r.</w:t>
      </w:r>
      <w:r w:rsidR="00F04544" w:rsidRPr="00A209C9">
        <w:rPr>
          <w:rFonts w:eastAsiaTheme="majorEastAsia"/>
          <w:lang w:eastAsia="en-US"/>
        </w:rPr>
        <w:t xml:space="preserve"> poz</w:t>
      </w:r>
      <w:r w:rsidR="00C86F14">
        <w:rPr>
          <w:rFonts w:eastAsiaTheme="majorEastAsia"/>
          <w:lang w:eastAsia="en-US"/>
        </w:rPr>
        <w:t>. 1720</w:t>
      </w:r>
      <w:r w:rsidR="003A25BB" w:rsidRPr="00A209C9">
        <w:rPr>
          <w:rFonts w:eastAsiaTheme="majorEastAsia"/>
          <w:lang w:eastAsia="en-US"/>
        </w:rPr>
        <w:t xml:space="preserve"> </w:t>
      </w:r>
      <w:r w:rsidR="00773D17" w:rsidRPr="00A209C9">
        <w:rPr>
          <w:rFonts w:eastAsiaTheme="majorEastAsia"/>
          <w:lang w:eastAsia="en-US"/>
        </w:rPr>
        <w:t>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A209C9">
      <w:pPr>
        <w:jc w:val="both"/>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0899A6F6" w14:textId="77777777" w:rsidR="00397F46" w:rsidRDefault="00397F46" w:rsidP="00107965">
      <w:pPr>
        <w:spacing w:line="252" w:lineRule="auto"/>
        <w:jc w:val="center"/>
        <w:rPr>
          <w:rFonts w:eastAsiaTheme="majorEastAsia"/>
          <w:lang w:eastAsia="en-US"/>
        </w:rPr>
      </w:pPr>
    </w:p>
    <w:p w14:paraId="5B7E889E" w14:textId="58059DBD" w:rsidR="00C95BE9" w:rsidRPr="00A209C9" w:rsidRDefault="00583030" w:rsidP="00107965">
      <w:pPr>
        <w:spacing w:line="252" w:lineRule="auto"/>
        <w:jc w:val="center"/>
        <w:rPr>
          <w:rFonts w:eastAsiaTheme="majorEastAsia"/>
          <w:bCs/>
          <w:lang w:eastAsia="en-US"/>
        </w:rPr>
      </w:pPr>
      <w:r>
        <w:rPr>
          <w:rFonts w:eastAsiaTheme="majorEastAsia"/>
          <w:bCs/>
          <w:lang w:eastAsia="en-US"/>
        </w:rPr>
        <w:t>Marzec</w:t>
      </w:r>
      <w:r w:rsidR="00063C8E">
        <w:rPr>
          <w:rFonts w:eastAsiaTheme="majorEastAsia"/>
          <w:bCs/>
          <w:lang w:eastAsia="en-US"/>
        </w:rPr>
        <w:t xml:space="preserve"> </w:t>
      </w:r>
      <w:r w:rsidR="00C95BE9" w:rsidRPr="00A209C9">
        <w:rPr>
          <w:rFonts w:eastAsiaTheme="majorEastAsia"/>
          <w:bCs/>
          <w:lang w:eastAsia="en-US"/>
        </w:rPr>
        <w:t xml:space="preserve">, </w:t>
      </w:r>
      <w:r w:rsidR="003A25BB" w:rsidRPr="00A209C9">
        <w:rPr>
          <w:rFonts w:eastAsiaTheme="majorEastAsia"/>
          <w:bCs/>
          <w:lang w:eastAsia="en-US"/>
        </w:rPr>
        <w:t>202</w:t>
      </w:r>
      <w:r>
        <w:rPr>
          <w:rFonts w:eastAsiaTheme="majorEastAsia"/>
          <w:bCs/>
          <w:lang w:eastAsia="en-US"/>
        </w:rPr>
        <w:t>4</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7C708623" w14:textId="03D6F457" w:rsidR="00773D17" w:rsidRPr="00A209C9" w:rsidRDefault="00773D17" w:rsidP="00A209C9">
      <w:pPr>
        <w:spacing w:line="252" w:lineRule="auto"/>
        <w:jc w:val="both"/>
        <w:rPr>
          <w:rFonts w:eastAsiaTheme="majorEastAsia"/>
          <w:i/>
          <w:lang w:eastAsia="en-US"/>
        </w:rPr>
      </w:pPr>
    </w:p>
    <w:p w14:paraId="68685863" w14:textId="0613C34E" w:rsidR="00773D17" w:rsidRPr="00A209C9" w:rsidRDefault="00773D17" w:rsidP="00A209C9">
      <w:pPr>
        <w:spacing w:line="252" w:lineRule="auto"/>
        <w:jc w:val="both"/>
        <w:rPr>
          <w:rFonts w:eastAsiaTheme="majorEastAsia"/>
          <w:i/>
          <w:lang w:eastAsia="en-US"/>
        </w:rPr>
      </w:pPr>
    </w:p>
    <w:p w14:paraId="052E1FC1" w14:textId="77777777" w:rsidR="00753E87" w:rsidRPr="00A209C9" w:rsidRDefault="00753E87" w:rsidP="00A209C9">
      <w:pPr>
        <w:spacing w:line="252" w:lineRule="auto"/>
        <w:jc w:val="both"/>
        <w:rPr>
          <w:rFonts w:eastAsiaTheme="majorEastAsia"/>
          <w:i/>
          <w:lang w:eastAsia="en-US"/>
        </w:rPr>
      </w:pPr>
    </w:p>
    <w:p w14:paraId="7D131CF5" w14:textId="77777777" w:rsidR="00583030" w:rsidRDefault="00583030" w:rsidP="00A209C9">
      <w:pPr>
        <w:spacing w:after="200" w:line="252" w:lineRule="auto"/>
        <w:jc w:val="both"/>
        <w:rPr>
          <w:rFonts w:eastAsiaTheme="majorEastAsia"/>
          <w:b/>
          <w:lang w:eastAsia="en-US"/>
        </w:rPr>
      </w:pPr>
    </w:p>
    <w:p w14:paraId="219999E9" w14:textId="6A814A7A"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w art. 96 ust. 2 pkt 2 ustawy Pzp</w:t>
      </w:r>
    </w:p>
    <w:p w14:paraId="6704169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5CD088D8" w14:textId="39DE767A" w:rsidR="007B6AA5" w:rsidRDefault="00773D17">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26740794" w14:textId="2F137D21" w:rsidR="0019128D" w:rsidRPr="00A209C9" w:rsidRDefault="0019128D">
      <w:pPr>
        <w:numPr>
          <w:ilvl w:val="0"/>
          <w:numId w:val="20"/>
        </w:numPr>
        <w:shd w:val="clear" w:color="auto" w:fill="FBD4B4" w:themeFill="accent6" w:themeFillTint="66"/>
        <w:spacing w:after="200" w:line="252" w:lineRule="auto"/>
        <w:contextualSpacing/>
        <w:jc w:val="both"/>
        <w:rPr>
          <w:b/>
          <w:lang w:eastAsia="en-US"/>
        </w:rPr>
      </w:pPr>
      <w:r>
        <w:rPr>
          <w:b/>
          <w:lang w:eastAsia="en-US"/>
        </w:rPr>
        <w:lastRenderedPageBreak/>
        <w:t>Unieważnienie postępowania</w:t>
      </w:r>
    </w:p>
    <w:p w14:paraId="23B18C20" w14:textId="2B5A8652" w:rsidR="00236611" w:rsidRPr="00A209C9" w:rsidRDefault="00236611" w:rsidP="00A209C9">
      <w:pPr>
        <w:jc w:val="both"/>
        <w:rPr>
          <w:color w:val="333333"/>
        </w:rPr>
      </w:pP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5E4E1BE2"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C86F14">
        <w:rPr>
          <w:rFonts w:eastAsiaTheme="majorEastAsia"/>
          <w:lang w:eastAsia="en-US"/>
        </w:rPr>
        <w:t xml:space="preserve"> 2023 r.</w:t>
      </w:r>
      <w:r w:rsidRPr="00A209C9">
        <w:rPr>
          <w:rFonts w:eastAsiaTheme="majorEastAsia"/>
          <w:lang w:eastAsia="en-US"/>
        </w:rPr>
        <w:t xml:space="preserve"> poz. </w:t>
      </w:r>
      <w:r w:rsidR="00C86F14">
        <w:rPr>
          <w:rFonts w:eastAsiaTheme="majorEastAsia"/>
          <w:lang w:eastAsia="en-US"/>
        </w:rPr>
        <w:t>1720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Pzp</w:t>
      </w:r>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429C5917" w14:textId="77777777" w:rsidR="00295A54" w:rsidRPr="00295A54" w:rsidRDefault="00295A54">
      <w:pPr>
        <w:widowControl w:val="0"/>
        <w:numPr>
          <w:ilvl w:val="0"/>
          <w:numId w:val="47"/>
        </w:numPr>
        <w:suppressAutoHyphens/>
        <w:autoSpaceDN w:val="0"/>
        <w:spacing w:after="200" w:line="244" w:lineRule="auto"/>
        <w:jc w:val="both"/>
        <w:textAlignment w:val="baseline"/>
        <w:rPr>
          <w:kern w:val="3"/>
          <w:lang w:eastAsia="pl-PL"/>
        </w:rPr>
      </w:pPr>
      <w:r w:rsidRPr="00295A54">
        <w:rPr>
          <w:b/>
          <w:kern w:val="3"/>
          <w:lang w:eastAsia="en-US"/>
        </w:rPr>
        <w:t xml:space="preserve">Wykonawcą </w:t>
      </w:r>
      <w:r w:rsidRPr="00295A54">
        <w:rPr>
          <w:bCs/>
          <w:kern w:val="3"/>
          <w:lang w:eastAsia="en-US"/>
        </w:rPr>
        <w:t>jest</w:t>
      </w:r>
      <w:r w:rsidRPr="00295A54">
        <w:rPr>
          <w:kern w:val="3"/>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128EB1"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 xml:space="preserve">Zamawiający </w:t>
      </w:r>
      <w:r w:rsidRPr="00295A54">
        <w:rPr>
          <w:kern w:val="3"/>
          <w:u w:val="single"/>
          <w:lang w:eastAsia="en-US"/>
        </w:rPr>
        <w:t>nie zastrzega</w:t>
      </w:r>
      <w:r w:rsidRPr="00295A54">
        <w:rPr>
          <w:kern w:val="3"/>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9F8CCC7" w14:textId="77777777" w:rsidR="00295A54" w:rsidRPr="00295A54" w:rsidRDefault="00295A54">
      <w:pPr>
        <w:widowControl w:val="0"/>
        <w:numPr>
          <w:ilvl w:val="0"/>
          <w:numId w:val="44"/>
        </w:numPr>
        <w:suppressAutoHyphens/>
        <w:autoSpaceDN w:val="0"/>
        <w:spacing w:after="200" w:line="244" w:lineRule="auto"/>
        <w:jc w:val="both"/>
        <w:textAlignment w:val="baseline"/>
        <w:rPr>
          <w:b/>
          <w:kern w:val="3"/>
          <w:lang w:eastAsia="pl-PL"/>
        </w:rPr>
      </w:pPr>
      <w:r w:rsidRPr="00295A54">
        <w:rPr>
          <w:b/>
          <w:kern w:val="3"/>
          <w:lang w:eastAsia="en-US"/>
        </w:rPr>
        <w:t>Zamówienie może zostać udzielone wykonawcy, który:</w:t>
      </w:r>
    </w:p>
    <w:p w14:paraId="58D4DC24" w14:textId="77777777" w:rsidR="00295A54" w:rsidRPr="00295A54" w:rsidRDefault="00295A54" w:rsidP="00295A54">
      <w:pPr>
        <w:suppressAutoHyphens/>
        <w:autoSpaceDN w:val="0"/>
        <w:spacing w:after="200" w:line="244" w:lineRule="auto"/>
        <w:ind w:left="360"/>
        <w:jc w:val="both"/>
        <w:textAlignment w:val="baseline"/>
        <w:rPr>
          <w:kern w:val="3"/>
          <w:lang w:eastAsia="en-US"/>
        </w:rPr>
      </w:pPr>
      <w:r w:rsidRPr="00295A54">
        <w:rPr>
          <w:kern w:val="3"/>
          <w:lang w:eastAsia="en-US"/>
        </w:rPr>
        <w:t>– spełnia warunki udziału w postępowaniu opisane w rozdziale II podrozdziale 7 SWZ,</w:t>
      </w:r>
    </w:p>
    <w:p w14:paraId="790E2691"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pl-PL"/>
        </w:rPr>
      </w:pPr>
      <w:r w:rsidRPr="00295A54">
        <w:rPr>
          <w:color w:val="000000"/>
          <w:kern w:val="3"/>
          <w:lang w:eastAsia="en-US"/>
        </w:rPr>
        <w:t xml:space="preserve">– nie podlega wykluczeniu na podstawie art. 108 ust. 1 ustawy Pzp; </w:t>
      </w:r>
      <w:r w:rsidRPr="00295A54">
        <w:rPr>
          <w:color w:val="000000"/>
          <w:kern w:val="3"/>
          <w:lang w:eastAsia="pl-PL"/>
        </w:rPr>
        <w:t>art. 109 ust 1 pkt 5, pkt 7, pkt 8, oraz pkt 10 ustawy</w:t>
      </w:r>
      <w:r w:rsidRPr="00295A54">
        <w:rPr>
          <w:color w:val="000000"/>
          <w:kern w:val="3"/>
          <w:lang w:eastAsia="en-US"/>
        </w:rPr>
        <w:t xml:space="preserve">, 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2EEA928C"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en-US"/>
        </w:rPr>
      </w:pPr>
      <w:r w:rsidRPr="00295A54">
        <w:rPr>
          <w:color w:val="000000"/>
          <w:kern w:val="3"/>
          <w:lang w:eastAsia="en-US"/>
        </w:rPr>
        <w:t>– złożył ofertę niepodlegającą odrzuceniu na podstawie art. 226 ust. 1 ustawy Pzp.</w:t>
      </w:r>
    </w:p>
    <w:p w14:paraId="7804C0B9"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Wykonawcy</w:t>
      </w:r>
      <w:r w:rsidRPr="00295A54">
        <w:rPr>
          <w:kern w:val="3"/>
          <w:lang w:eastAsia="en-US"/>
        </w:rPr>
        <w:t xml:space="preserve"> </w:t>
      </w:r>
      <w:r w:rsidRPr="00295A54">
        <w:rPr>
          <w:b/>
          <w:kern w:val="3"/>
          <w:lang w:eastAsia="en-US"/>
        </w:rPr>
        <w:t>mogą wspólnie ubiegać się o udzielenie zamówienia</w:t>
      </w:r>
      <w:r w:rsidRPr="00295A54">
        <w:rPr>
          <w:kern w:val="3"/>
          <w:lang w:eastAsia="en-US"/>
        </w:rPr>
        <w:t>.</w:t>
      </w:r>
    </w:p>
    <w:p w14:paraId="69627E6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W takim przypadku:</w:t>
      </w:r>
    </w:p>
    <w:p w14:paraId="02991A4E" w14:textId="77777777" w:rsidR="00295A54" w:rsidRPr="00295A54" w:rsidRDefault="00295A54">
      <w:pPr>
        <w:widowControl w:val="0"/>
        <w:numPr>
          <w:ilvl w:val="0"/>
          <w:numId w:val="45"/>
        </w:numPr>
        <w:suppressAutoHyphens/>
        <w:autoSpaceDN w:val="0"/>
        <w:spacing w:after="200" w:line="244" w:lineRule="auto"/>
        <w:jc w:val="both"/>
        <w:textAlignment w:val="baseline"/>
        <w:rPr>
          <w:kern w:val="3"/>
          <w:lang w:eastAsia="pl-PL"/>
        </w:rPr>
      </w:pPr>
      <w:r w:rsidRPr="00295A54">
        <w:rPr>
          <w:bCs/>
          <w:kern w:val="3"/>
          <w:lang w:eastAsia="en-US"/>
        </w:rPr>
        <w:t>Wykonawcy występujący wspólnie są zobowiązani do ustanowienia pełnomocnika do reprezentowania ich w postępowaniu albo do reprezentowania ich w postępowaniu i zawarcia umowy w sprawie przedmiotowego zamówienia publicznego.</w:t>
      </w:r>
    </w:p>
    <w:p w14:paraId="4692DBBB" w14:textId="77777777" w:rsidR="00295A54" w:rsidRPr="00295A54" w:rsidRDefault="00295A54">
      <w:pPr>
        <w:widowControl w:val="0"/>
        <w:numPr>
          <w:ilvl w:val="0"/>
          <w:numId w:val="46"/>
        </w:numPr>
        <w:suppressAutoHyphens/>
        <w:autoSpaceDN w:val="0"/>
        <w:spacing w:after="200" w:line="244" w:lineRule="auto"/>
        <w:jc w:val="both"/>
        <w:textAlignment w:val="baseline"/>
        <w:rPr>
          <w:kern w:val="3"/>
          <w:lang w:eastAsia="pl-PL"/>
        </w:rPr>
      </w:pPr>
      <w:r w:rsidRPr="00295A54">
        <w:rPr>
          <w:bCs/>
          <w:kern w:val="3"/>
          <w:lang w:eastAsia="en-US"/>
        </w:rPr>
        <w:t>Wszelka korespondencja będzie prowadzona przez zamawiającego wyłącznie z pełnomocnikiem.</w:t>
      </w:r>
    </w:p>
    <w:p w14:paraId="0B047406"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Potencjał podmiotu trzeciego</w:t>
      </w:r>
    </w:p>
    <w:p w14:paraId="44E3C18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w:t>
      </w:r>
      <w:r w:rsidRPr="00295A54">
        <w:rPr>
          <w:kern w:val="3"/>
          <w:lang w:eastAsia="en-US"/>
        </w:rPr>
        <w:lastRenderedPageBreak/>
        <w:t xml:space="preserve">podstawie art. 108 ust. 1,  art. 109 </w:t>
      </w:r>
      <w:r w:rsidRPr="00295A54">
        <w:rPr>
          <w:color w:val="000000"/>
          <w:kern w:val="3"/>
          <w:lang w:eastAsia="pl-PL"/>
        </w:rPr>
        <w:t xml:space="preserve">ust 1 pkt 5, pkt 7, pkt 8, oraz pkt 10 P.z.p. </w:t>
      </w:r>
      <w:r w:rsidRPr="00295A54">
        <w:rPr>
          <w:color w:val="000000"/>
          <w:kern w:val="3"/>
          <w:lang w:eastAsia="en-US"/>
        </w:rPr>
        <w:t xml:space="preserve">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708520FA"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Podwykonawstwo</w:t>
      </w:r>
    </w:p>
    <w:p w14:paraId="3E4F0018"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Zamawiający nie zastrzega obowiązku osobistego wykonania przez wykonawcę kluczowych zadań.</w:t>
      </w:r>
    </w:p>
    <w:p w14:paraId="77C37A7F"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b/>
          <w:kern w:val="3"/>
          <w:lang w:eastAsia="en-US"/>
        </w:rPr>
        <w:t>Wykonawca może powierzyć wykonanie części zamówienia podwykonawcy.</w:t>
      </w:r>
      <w:r w:rsidRPr="00295A54">
        <w:rPr>
          <w:kern w:val="3"/>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sidRPr="00295A54">
        <w:rPr>
          <w:kern w:val="3"/>
          <w:lang w:eastAsia="en-US"/>
        </w:rPr>
        <w:br/>
        <w:t>w SWZ.</w:t>
      </w:r>
    </w:p>
    <w:p w14:paraId="213F5BEA"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kern w:val="3"/>
          <w:lang w:eastAsia="en-US"/>
        </w:rPr>
        <w:t xml:space="preserve">Zamawiający może badać, czy nie zachodzą wobec Podwykonawcy niebędącego udostępniającym zasoby podstawy wykluczenia na podstawie art. 108 ust. 1oraz art. 109 </w:t>
      </w:r>
      <w:r w:rsidRPr="00295A54">
        <w:rPr>
          <w:color w:val="000000"/>
          <w:kern w:val="3"/>
          <w:lang w:eastAsia="pl-PL"/>
        </w:rPr>
        <w:t>ust 1 pkt 5, pkt 7, pkt 8, oraz pkt 10</w:t>
      </w:r>
      <w:r w:rsidRPr="00295A54">
        <w:rPr>
          <w:kern w:val="3"/>
          <w:lang w:eastAsia="en-US"/>
        </w:rPr>
        <w:t xml:space="preserve"> Pzp.</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A209C9">
      <w:pPr>
        <w:spacing w:after="200" w:line="252" w:lineRule="auto"/>
        <w:ind w:left="360"/>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5D273EC7" w14:textId="3595D68C" w:rsidR="00667596" w:rsidRPr="003A25BB" w:rsidRDefault="00667596" w:rsidP="00397F46">
      <w:pPr>
        <w:spacing w:after="200" w:line="252" w:lineRule="auto"/>
        <w:contextualSpacing/>
        <w:jc w:val="both"/>
        <w:rPr>
          <w:rFonts w:eastAsiaTheme="majorEastAsia"/>
          <w:b/>
          <w:bCs/>
          <w:u w:val="single"/>
          <w:lang w:eastAsia="en-US"/>
        </w:rPr>
      </w:pPr>
      <w:r w:rsidRPr="003A25BB">
        <w:rPr>
          <w:rFonts w:eastAsiaTheme="majorEastAsia"/>
          <w:b/>
          <w:bCs/>
          <w:u w:val="single"/>
          <w:lang w:eastAsia="en-US"/>
        </w:rPr>
        <w:t xml:space="preserve">Zamawiający </w:t>
      </w:r>
      <w:r w:rsidR="00397F46">
        <w:rPr>
          <w:rFonts w:eastAsiaTheme="majorEastAsia"/>
          <w:b/>
          <w:bCs/>
          <w:u w:val="single"/>
          <w:lang w:eastAsia="en-US"/>
        </w:rPr>
        <w:t xml:space="preserve">nie </w:t>
      </w:r>
      <w:r w:rsidR="00C95BE9" w:rsidRPr="003A25BB">
        <w:rPr>
          <w:rFonts w:eastAsiaTheme="majorEastAsia"/>
          <w:b/>
          <w:bCs/>
          <w:u w:val="single"/>
          <w:lang w:eastAsia="en-US"/>
        </w:rPr>
        <w:t xml:space="preserve">wymaga </w:t>
      </w:r>
      <w:r w:rsidRPr="003A25BB">
        <w:rPr>
          <w:rFonts w:eastAsiaTheme="majorEastAsia"/>
          <w:b/>
          <w:bCs/>
          <w:u w:val="single"/>
          <w:lang w:eastAsia="en-US"/>
        </w:rPr>
        <w:t>odbyci</w:t>
      </w:r>
      <w:r w:rsidR="00A85EAD" w:rsidRPr="003A25BB">
        <w:rPr>
          <w:rFonts w:eastAsiaTheme="majorEastAsia"/>
          <w:b/>
          <w:bCs/>
          <w:u w:val="single"/>
          <w:lang w:eastAsia="en-US"/>
        </w:rPr>
        <w:t>a</w:t>
      </w:r>
      <w:r w:rsidR="00C95BE9" w:rsidRPr="003A25BB">
        <w:rPr>
          <w:rFonts w:eastAsiaTheme="majorEastAsia"/>
          <w:b/>
          <w:bCs/>
          <w:u w:val="single"/>
          <w:lang w:eastAsia="en-US"/>
        </w:rPr>
        <w:t xml:space="preserve"> przez wykonawcę wizji lokalnej.</w:t>
      </w:r>
    </w:p>
    <w:p w14:paraId="74226DBF" w14:textId="77777777" w:rsidR="00C95BE9" w:rsidRPr="00A209C9"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5E7A212E" w14:textId="77777777" w:rsidR="00C95BE9" w:rsidRDefault="00C95BE9" w:rsidP="00A209C9">
      <w:pPr>
        <w:spacing w:after="200" w:line="252" w:lineRule="auto"/>
        <w:contextualSpacing/>
        <w:jc w:val="both"/>
        <w:rPr>
          <w:rFonts w:eastAsiaTheme="majorEastAsia"/>
          <w:b/>
          <w:lang w:eastAsia="en-US"/>
        </w:rPr>
      </w:pPr>
    </w:p>
    <w:p w14:paraId="4827AD82"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kern w:val="3"/>
          <w:lang w:eastAsia="en-US"/>
        </w:rPr>
        <w:t>Zamawiający nie dokonuje podziału zamówienia na części. Tym samym zamawiający nie dopuszcza składania ofert częściowych, o których mowa w art. 7 pkt 15 ustawy Pzp.</w:t>
      </w:r>
    </w:p>
    <w:p w14:paraId="35383230"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b/>
          <w:kern w:val="3"/>
          <w:lang w:eastAsia="en-US"/>
        </w:rPr>
        <w:t>Powody niedokonania podziału:</w:t>
      </w:r>
    </w:p>
    <w:p w14:paraId="7EC00AF5" w14:textId="6BE21F14" w:rsidR="007D79C4" w:rsidRPr="007D79C4" w:rsidRDefault="007D79C4">
      <w:pPr>
        <w:widowControl w:val="0"/>
        <w:numPr>
          <w:ilvl w:val="0"/>
          <w:numId w:val="48"/>
        </w:numPr>
        <w:suppressAutoHyphens/>
        <w:autoSpaceDN w:val="0"/>
        <w:spacing w:after="200" w:line="244" w:lineRule="auto"/>
        <w:jc w:val="both"/>
        <w:textAlignment w:val="baseline"/>
        <w:rPr>
          <w:kern w:val="3"/>
          <w:lang w:eastAsia="pl-PL"/>
        </w:rPr>
      </w:pPr>
      <w:r w:rsidRPr="007D79C4">
        <w:rPr>
          <w:rFonts w:eastAsia="DengXian Light"/>
          <w:kern w:val="3"/>
          <w:lang w:eastAsia="en-US"/>
        </w:rPr>
        <w:t xml:space="preserve">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w:t>
      </w:r>
      <w:r w:rsidRPr="007D79C4">
        <w:rPr>
          <w:rFonts w:eastAsia="DengXian Light"/>
          <w:kern w:val="3"/>
          <w:lang w:eastAsia="en-US"/>
        </w:rPr>
        <w:lastRenderedPageBreak/>
        <w:t>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r w:rsidRPr="007D79C4">
        <w:rPr>
          <w:kern w:val="3"/>
          <w:lang w:eastAsia="en-US"/>
        </w:rPr>
        <w:t xml:space="preserve"> </w:t>
      </w:r>
    </w:p>
    <w:p w14:paraId="20ABB5A1" w14:textId="77777777" w:rsidR="007D79C4" w:rsidRPr="00A209C9" w:rsidRDefault="007D79C4" w:rsidP="00A209C9">
      <w:pPr>
        <w:spacing w:after="200" w:line="252" w:lineRule="auto"/>
        <w:contextualSpacing/>
        <w:jc w:val="both"/>
        <w:rPr>
          <w:rFonts w:eastAsiaTheme="majorEastAsia"/>
          <w:b/>
          <w:lang w:eastAsia="en-US"/>
        </w:rPr>
      </w:pPr>
    </w:p>
    <w:p w14:paraId="2DDA5142" w14:textId="03DCBB4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dopuszcza możliwości, złożenia oferty wariantowej, o której mowa w art. 92 ustawy Pzp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pPr>
        <w:numPr>
          <w:ilvl w:val="0"/>
          <w:numId w:val="18"/>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przewiduje zawarcia umowy ramowej, o  której mowa w art. 311–315 ustawy Pzp.</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Pzp.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Pzp</w:t>
      </w:r>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55D01B4B" w14:textId="388EC497" w:rsidR="00734704" w:rsidRDefault="00734704">
      <w:pPr>
        <w:pStyle w:val="Akapitzlist"/>
        <w:numPr>
          <w:ilvl w:val="0"/>
          <w:numId w:val="38"/>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w:t>
      </w:r>
      <w:r w:rsidRPr="00605968">
        <w:rPr>
          <w:rFonts w:ascii="Cambria" w:hAnsi="Cambria" w:cs="Cambria"/>
        </w:rPr>
        <w:lastRenderedPageBreak/>
        <w:t xml:space="preserve">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440CC00C"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zaniechanie czynności w postępowaniu o udzielenie zamówienia, do której Zamawiający był obowiązany na podstawie PZP;</w:t>
      </w:r>
    </w:p>
    <w:p w14:paraId="38306E24" w14:textId="0B5714B2" w:rsidR="00734704" w:rsidRPr="007C3B2D" w:rsidRDefault="00597E80" w:rsidP="00734704">
      <w:pPr>
        <w:tabs>
          <w:tab w:val="left" w:pos="1276"/>
        </w:tabs>
        <w:spacing w:before="120"/>
        <w:ind w:left="1276" w:hanging="576"/>
        <w:jc w:val="both"/>
        <w:rPr>
          <w:rFonts w:ascii="Cambria" w:eastAsia="A" w:hAnsi="Cambria" w:cs="Cambria"/>
        </w:rPr>
      </w:pPr>
      <w:r>
        <w:rPr>
          <w:rFonts w:ascii="Cambria" w:eastAsia="A" w:hAnsi="Cambria" w:cs="Cambria"/>
        </w:rPr>
        <w:t>c</w:t>
      </w:r>
      <w:r w:rsidR="00734704" w:rsidRPr="007C3B2D">
        <w:rPr>
          <w:rFonts w:ascii="Cambria" w:eastAsia="A" w:hAnsi="Cambria" w:cs="Cambria"/>
        </w:rPr>
        <w:t>)</w:t>
      </w:r>
      <w:r w:rsidR="00734704"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5139BA4D" w14:textId="77777777" w:rsidR="00734704" w:rsidRDefault="00734704">
      <w:pPr>
        <w:pStyle w:val="Akapitzlist"/>
        <w:numPr>
          <w:ilvl w:val="0"/>
          <w:numId w:val="38"/>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648D6B6" w14:textId="7E09E506" w:rsidR="00172880" w:rsidRPr="00597E80"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7D79C4" w:rsidRPr="007D79C4">
        <w:rPr>
          <w:rFonts w:eastAsiaTheme="majorEastAsia"/>
          <w:color w:val="000000" w:themeColor="text1"/>
          <w:lang w:eastAsia="en-US"/>
        </w:rPr>
        <w:t xml:space="preserve">„PRZEBUDOWA DROGI POWIATOWEJ NA ODCINKU ŚWIERZNO-GOSTYŃ” W FORMULE ZAPROJEKTUJ I WYBUDUJ   </w:t>
      </w:r>
    </w:p>
    <w:p w14:paraId="6362001F"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B96C7"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w:t>
      </w:r>
      <w:r w:rsidRPr="00A209C9">
        <w:rPr>
          <w:rFonts w:eastAsiaTheme="majorEastAsia"/>
          <w:color w:val="000000" w:themeColor="text1"/>
          <w:lang w:eastAsia="en-US"/>
        </w:rPr>
        <w:lastRenderedPageBreak/>
        <w:t>umożliwienia korzystania ze środków ochrony prawnej, o których mowa w dziale IX ustawy Pzp,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159FD30"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 xml:space="preserve">Prawo zamówień publicznych (Dz.U. </w:t>
      </w:r>
      <w:r w:rsidR="00C86F14">
        <w:rPr>
          <w:b/>
          <w:highlight w:val="lightGray"/>
          <w:lang w:eastAsia="en-US"/>
        </w:rPr>
        <w:t xml:space="preserve">2023 r. </w:t>
      </w:r>
      <w:r w:rsidRPr="00A209C9">
        <w:rPr>
          <w:b/>
          <w:highlight w:val="lightGray"/>
          <w:lang w:eastAsia="en-US"/>
        </w:rPr>
        <w:t xml:space="preserve">poz. </w:t>
      </w:r>
      <w:r w:rsidR="00C86F14">
        <w:rPr>
          <w:b/>
          <w:highlight w:val="lightGray"/>
          <w:lang w:eastAsia="en-US"/>
        </w:rPr>
        <w:t>1720</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46E8CBBA" w14:textId="62896FE0" w:rsidR="00172880" w:rsidRPr="000A121A" w:rsidRDefault="00172880">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Przedmiot zamówienia stanowi:</w:t>
      </w:r>
      <w:r w:rsidRPr="000A121A">
        <w:rPr>
          <w:rFonts w:eastAsiaTheme="majorEastAsia"/>
          <w:color w:val="000000" w:themeColor="text1"/>
          <w:lang w:eastAsia="en-US"/>
        </w:rPr>
        <w:t xml:space="preserve"> </w:t>
      </w:r>
      <w:r w:rsidR="007D79C4" w:rsidRPr="000A121A">
        <w:rPr>
          <w:rFonts w:eastAsiaTheme="majorEastAsia"/>
          <w:color w:val="000000" w:themeColor="text1"/>
          <w:lang w:eastAsia="en-US"/>
        </w:rPr>
        <w:t xml:space="preserve">„PRZEBUDOWA DROGI POWIATOWEJ NA ODCINKU ŚWIERZNO-GOSTYŃ” W FORMULE ZAPROJEKTUJ I WYBUDUJ   </w:t>
      </w:r>
      <w:r w:rsidR="00C0484E" w:rsidRPr="000A121A">
        <w:rPr>
          <w:rFonts w:eastAsiaTheme="majorEastAsia"/>
          <w:b/>
          <w:color w:val="000000" w:themeColor="text1"/>
          <w:lang w:eastAsia="en-US"/>
        </w:rPr>
        <w:t xml:space="preserve">Wspólny Słownik Zamówień: kod </w:t>
      </w:r>
      <w:r w:rsidRPr="000A121A">
        <w:rPr>
          <w:rFonts w:eastAsiaTheme="majorEastAsia"/>
          <w:b/>
          <w:color w:val="000000" w:themeColor="text1"/>
          <w:lang w:eastAsia="en-US"/>
        </w:rPr>
        <w:t>C</w:t>
      </w:r>
      <w:r w:rsidR="00C0484E" w:rsidRPr="000A121A">
        <w:rPr>
          <w:rFonts w:eastAsiaTheme="majorEastAsia"/>
          <w:b/>
          <w:color w:val="000000" w:themeColor="text1"/>
          <w:lang w:eastAsia="en-US"/>
        </w:rPr>
        <w:t>P</w:t>
      </w:r>
      <w:r w:rsidRPr="000A121A">
        <w:rPr>
          <w:rFonts w:eastAsiaTheme="majorEastAsia"/>
          <w:b/>
          <w:color w:val="000000" w:themeColor="text1"/>
          <w:lang w:eastAsia="en-US"/>
        </w:rPr>
        <w:t>V:</w:t>
      </w:r>
      <w:r w:rsidR="00FF6D99" w:rsidRPr="000A121A">
        <w:rPr>
          <w:rFonts w:eastAsiaTheme="majorEastAsia"/>
          <w:b/>
          <w:color w:val="000000" w:themeColor="text1"/>
          <w:lang w:eastAsia="en-US"/>
        </w:rPr>
        <w:t xml:space="preserve"> </w:t>
      </w:r>
      <w:r w:rsidR="002279DC">
        <w:rPr>
          <w:rFonts w:eastAsiaTheme="majorEastAsia"/>
          <w:b/>
          <w:color w:val="000000" w:themeColor="text1"/>
          <w:lang w:eastAsia="en-US"/>
        </w:rPr>
        <w:t>4523325-0</w:t>
      </w:r>
      <w:r w:rsidR="00597E80" w:rsidRPr="000A121A">
        <w:rPr>
          <w:rFonts w:eastAsiaTheme="majorEastAsia"/>
          <w:b/>
          <w:color w:val="000000" w:themeColor="text1"/>
          <w:lang w:eastAsia="en-US"/>
        </w:rPr>
        <w:t>, 71320000-7</w:t>
      </w:r>
      <w:r w:rsidR="002279DC">
        <w:rPr>
          <w:rFonts w:eastAsiaTheme="majorEastAsia"/>
          <w:b/>
          <w:color w:val="000000" w:themeColor="text1"/>
          <w:lang w:eastAsia="en-US"/>
        </w:rPr>
        <w:t>, 45230000-8, 45233140-2</w:t>
      </w:r>
    </w:p>
    <w:p w14:paraId="4EBB70F0" w14:textId="77777777" w:rsidR="000A121A" w:rsidRPr="000A121A" w:rsidRDefault="00172880" w:rsidP="000A121A">
      <w:pPr>
        <w:ind w:right="-8"/>
        <w:jc w:val="both"/>
        <w:rPr>
          <w:rFonts w:eastAsia="Calibri"/>
        </w:rPr>
      </w:pPr>
      <w:r w:rsidRPr="000A121A">
        <w:rPr>
          <w:rFonts w:eastAsiaTheme="majorEastAsia"/>
          <w:b/>
          <w:color w:val="000000" w:themeColor="text1"/>
          <w:lang w:eastAsia="en-US"/>
        </w:rPr>
        <w:t xml:space="preserve">Zakres przedmiotu zamówienia obejmuje: </w:t>
      </w:r>
      <w:r w:rsidR="00FF6D99" w:rsidRPr="000A121A">
        <w:rPr>
          <w:rFonts w:eastAsia="Calibri"/>
        </w:rPr>
        <w:t xml:space="preserve">Przedmiotem zamówienia jest zadanie polegające na wykonaniu dokumentacji projektowej oraz przebudowie drogi </w:t>
      </w:r>
      <w:r w:rsidR="007D79C4" w:rsidRPr="000A121A">
        <w:rPr>
          <w:rFonts w:eastAsia="Calibri"/>
        </w:rPr>
        <w:t xml:space="preserve">powiatowej </w:t>
      </w:r>
      <w:r w:rsidR="00FF6D99" w:rsidRPr="000A121A">
        <w:rPr>
          <w:rFonts w:eastAsia="Calibri"/>
        </w:rPr>
        <w:t xml:space="preserve"> </w:t>
      </w:r>
      <w:r w:rsidR="007D79C4" w:rsidRPr="000A121A">
        <w:rPr>
          <w:rFonts w:eastAsia="Calibri"/>
        </w:rPr>
        <w:t>Świerzno-Gostyń.</w:t>
      </w:r>
      <w:r w:rsidR="00786524" w:rsidRPr="000A121A">
        <w:rPr>
          <w:rFonts w:eastAsia="Calibri"/>
        </w:rPr>
        <w:t xml:space="preserve"> Zakładana długość odcinka to </w:t>
      </w:r>
      <w:r w:rsidR="007D79C4" w:rsidRPr="000A121A">
        <w:rPr>
          <w:rFonts w:eastAsia="Calibri"/>
        </w:rPr>
        <w:t>2,495</w:t>
      </w:r>
      <w:r w:rsidR="00786524" w:rsidRPr="000A121A">
        <w:rPr>
          <w:rFonts w:eastAsia="Calibri"/>
        </w:rPr>
        <w:t xml:space="preserve"> km.</w:t>
      </w:r>
      <w:r w:rsidR="000B3F63" w:rsidRPr="000A121A">
        <w:rPr>
          <w:rFonts w:eastAsia="Calibri"/>
        </w:rPr>
        <w:t xml:space="preserve"> Inwestycja znajduję się na dz. o numerach ewidencyjnych; </w:t>
      </w:r>
      <w:r w:rsidR="007D79C4" w:rsidRPr="000A121A">
        <w:rPr>
          <w:rFonts w:eastAsia="Calibri"/>
        </w:rPr>
        <w:t xml:space="preserve">118 obr. Świerzno, 122, 125, 126 obr. Gostyniec. </w:t>
      </w:r>
    </w:p>
    <w:p w14:paraId="4B4ABBB3" w14:textId="3DA3C4A3" w:rsidR="000A121A" w:rsidRPr="000A121A" w:rsidRDefault="000A121A" w:rsidP="000A121A">
      <w:pPr>
        <w:ind w:right="-8"/>
        <w:jc w:val="both"/>
        <w:rPr>
          <w:u w:val="single"/>
        </w:rPr>
      </w:pPr>
      <w:r w:rsidRPr="000A121A">
        <w:rPr>
          <w:rFonts w:eastAsia="Calibri Light"/>
          <w:b/>
          <w:bCs/>
          <w:u w:val="single"/>
        </w:rPr>
        <w:t>Zamówienie obejmuje część projektową:</w:t>
      </w:r>
    </w:p>
    <w:p w14:paraId="0D0FAE3A" w14:textId="77777777" w:rsidR="000A121A" w:rsidRPr="000A121A" w:rsidRDefault="000A121A">
      <w:pPr>
        <w:numPr>
          <w:ilvl w:val="0"/>
          <w:numId w:val="49"/>
        </w:numPr>
        <w:tabs>
          <w:tab w:val="left" w:pos="164"/>
        </w:tabs>
        <w:spacing w:line="238" w:lineRule="auto"/>
        <w:ind w:right="-8"/>
        <w:jc w:val="both"/>
        <w:rPr>
          <w:rFonts w:eastAsia="Calibri Light"/>
        </w:rPr>
      </w:pPr>
      <w:r w:rsidRPr="000A121A">
        <w:rPr>
          <w:rFonts w:eastAsia="Calibri Light"/>
        </w:rPr>
        <w:t>wykonanie szczegółowej inwentaryzacji zieleni znajdującej się w granicach pasa drogowego;</w:t>
      </w:r>
    </w:p>
    <w:p w14:paraId="2D9BA5A3" w14:textId="77777777" w:rsidR="000A121A" w:rsidRPr="000A121A" w:rsidRDefault="000A121A" w:rsidP="000A121A">
      <w:pPr>
        <w:spacing w:line="14" w:lineRule="exact"/>
        <w:ind w:right="-8"/>
        <w:jc w:val="both"/>
        <w:rPr>
          <w:rFonts w:eastAsia="Calibri Light"/>
        </w:rPr>
      </w:pPr>
    </w:p>
    <w:p w14:paraId="472E2B64" w14:textId="77777777" w:rsidR="000A121A" w:rsidRPr="000A121A" w:rsidRDefault="000A121A">
      <w:pPr>
        <w:numPr>
          <w:ilvl w:val="0"/>
          <w:numId w:val="49"/>
        </w:numPr>
        <w:tabs>
          <w:tab w:val="left" w:pos="164"/>
        </w:tabs>
        <w:ind w:right="-8"/>
        <w:jc w:val="both"/>
        <w:rPr>
          <w:rFonts w:eastAsia="Calibri Light"/>
        </w:rPr>
      </w:pPr>
      <w:r w:rsidRPr="000A121A">
        <w:rPr>
          <w:rFonts w:eastAsia="Calibri Light"/>
        </w:rPr>
        <w:t>wykonanie dokumentacji badania podłoża gruntowego;</w:t>
      </w:r>
    </w:p>
    <w:p w14:paraId="5143789D" w14:textId="77777777" w:rsidR="000A121A" w:rsidRPr="000A121A" w:rsidRDefault="000A121A" w:rsidP="000A121A">
      <w:pPr>
        <w:spacing w:line="14" w:lineRule="exact"/>
        <w:ind w:right="-8"/>
        <w:jc w:val="both"/>
        <w:rPr>
          <w:rFonts w:eastAsia="Calibri Light"/>
        </w:rPr>
      </w:pPr>
    </w:p>
    <w:p w14:paraId="5A476CFC" w14:textId="1B6818DF" w:rsidR="000A121A" w:rsidRPr="000A121A" w:rsidRDefault="000A121A">
      <w:pPr>
        <w:numPr>
          <w:ilvl w:val="0"/>
          <w:numId w:val="49"/>
        </w:numPr>
        <w:tabs>
          <w:tab w:val="left" w:pos="144"/>
        </w:tabs>
        <w:ind w:right="-8"/>
        <w:jc w:val="both"/>
        <w:rPr>
          <w:rFonts w:eastAsia="Calibri Light"/>
        </w:rPr>
      </w:pPr>
      <w:r w:rsidRPr="000A121A">
        <w:rPr>
          <w:rFonts w:eastAsia="Calibri Light"/>
        </w:rPr>
        <w:t>uzyskanie decyzji o środowiskowych uwarunkowaniach,</w:t>
      </w:r>
    </w:p>
    <w:p w14:paraId="15441340" w14:textId="01437235" w:rsidR="000A121A" w:rsidRPr="000A121A" w:rsidRDefault="000A121A">
      <w:pPr>
        <w:numPr>
          <w:ilvl w:val="0"/>
          <w:numId w:val="49"/>
        </w:numPr>
        <w:tabs>
          <w:tab w:val="left" w:pos="144"/>
        </w:tabs>
        <w:ind w:right="-8"/>
        <w:jc w:val="both"/>
        <w:rPr>
          <w:rFonts w:eastAsia="Calibri Light"/>
        </w:rPr>
      </w:pPr>
      <w:r w:rsidRPr="000A121A">
        <w:rPr>
          <w:rFonts w:eastAsia="Calibri Light"/>
        </w:rPr>
        <w:lastRenderedPageBreak/>
        <w:t>uzyskanie decyzji o lokalizacji inwestycji celu publicznego dla tego zadania</w:t>
      </w:r>
    </w:p>
    <w:p w14:paraId="33750783" w14:textId="51F45E95" w:rsidR="000A121A" w:rsidRPr="000A121A" w:rsidRDefault="000A121A">
      <w:pPr>
        <w:numPr>
          <w:ilvl w:val="0"/>
          <w:numId w:val="49"/>
        </w:numPr>
        <w:tabs>
          <w:tab w:val="left" w:pos="144"/>
        </w:tabs>
        <w:ind w:right="-8"/>
        <w:jc w:val="both"/>
        <w:rPr>
          <w:rFonts w:eastAsia="Calibri Light"/>
        </w:rPr>
      </w:pPr>
      <w:r w:rsidRPr="000A121A">
        <w:rPr>
          <w:rFonts w:eastAsia="Calibri Light"/>
        </w:rPr>
        <w:t>sporządzenie projektu budowlanego,</w:t>
      </w:r>
    </w:p>
    <w:p w14:paraId="2BADF08D" w14:textId="77777777" w:rsidR="000A121A" w:rsidRPr="000A121A" w:rsidRDefault="000A121A" w:rsidP="000A121A">
      <w:pPr>
        <w:spacing w:line="13" w:lineRule="exact"/>
        <w:ind w:right="-8"/>
        <w:jc w:val="both"/>
      </w:pPr>
    </w:p>
    <w:p w14:paraId="4AF22165" w14:textId="77777777" w:rsidR="000A121A" w:rsidRPr="000A121A" w:rsidRDefault="000A121A">
      <w:pPr>
        <w:numPr>
          <w:ilvl w:val="0"/>
          <w:numId w:val="50"/>
        </w:numPr>
        <w:tabs>
          <w:tab w:val="left" w:pos="164"/>
        </w:tabs>
        <w:ind w:right="-8"/>
        <w:jc w:val="both"/>
        <w:rPr>
          <w:rFonts w:eastAsia="Calibri Light"/>
        </w:rPr>
      </w:pPr>
      <w:r w:rsidRPr="000A121A">
        <w:rPr>
          <w:rFonts w:eastAsia="Calibri Light"/>
        </w:rPr>
        <w:t>uzyskanie pozwoleń wodnoprawnych,</w:t>
      </w:r>
    </w:p>
    <w:p w14:paraId="45F8072B" w14:textId="77777777" w:rsidR="000A121A" w:rsidRPr="000A121A" w:rsidRDefault="000A121A" w:rsidP="000A121A">
      <w:pPr>
        <w:spacing w:line="14" w:lineRule="exact"/>
        <w:ind w:right="-8"/>
        <w:jc w:val="both"/>
        <w:rPr>
          <w:rFonts w:eastAsia="Calibri Light"/>
        </w:rPr>
      </w:pPr>
    </w:p>
    <w:p w14:paraId="5737D08A" w14:textId="77777777" w:rsidR="000A121A" w:rsidRPr="000A121A" w:rsidRDefault="000A121A">
      <w:pPr>
        <w:numPr>
          <w:ilvl w:val="0"/>
          <w:numId w:val="50"/>
        </w:numPr>
        <w:tabs>
          <w:tab w:val="left" w:pos="164"/>
        </w:tabs>
        <w:ind w:right="-8"/>
        <w:jc w:val="both"/>
        <w:rPr>
          <w:rFonts w:eastAsia="Calibri Light"/>
        </w:rPr>
      </w:pPr>
      <w:r w:rsidRPr="000A121A">
        <w:rPr>
          <w:rFonts w:eastAsia="Calibri Light"/>
        </w:rPr>
        <w:t>sporządzenie projektu budowlanego i wykonawczego branży drogowej,</w:t>
      </w:r>
    </w:p>
    <w:p w14:paraId="134828C2" w14:textId="77777777" w:rsidR="000A121A" w:rsidRPr="000A121A" w:rsidRDefault="000A121A" w:rsidP="000A121A">
      <w:pPr>
        <w:spacing w:line="63" w:lineRule="exact"/>
        <w:ind w:right="-8"/>
        <w:jc w:val="both"/>
        <w:rPr>
          <w:rFonts w:eastAsia="Calibri Light"/>
        </w:rPr>
      </w:pPr>
    </w:p>
    <w:p w14:paraId="52506029" w14:textId="77777777" w:rsidR="000A121A" w:rsidRPr="000A121A" w:rsidRDefault="000A121A">
      <w:pPr>
        <w:numPr>
          <w:ilvl w:val="0"/>
          <w:numId w:val="50"/>
        </w:numPr>
        <w:tabs>
          <w:tab w:val="left" w:pos="165"/>
        </w:tabs>
        <w:spacing w:line="218" w:lineRule="auto"/>
        <w:ind w:right="-8"/>
        <w:jc w:val="both"/>
        <w:rPr>
          <w:rFonts w:eastAsia="Calibri Light"/>
        </w:rPr>
      </w:pPr>
      <w:r w:rsidRPr="000A121A">
        <w:rPr>
          <w:rFonts w:eastAsia="Calibri Light"/>
        </w:rPr>
        <w:t>sporządzenie szczegółowej specyfikacji technicznych wykonania i odbioru robót dla wymienionych wyżej branż,</w:t>
      </w:r>
    </w:p>
    <w:p w14:paraId="7085DBE2" w14:textId="77777777" w:rsidR="000A121A" w:rsidRPr="000A121A" w:rsidRDefault="000A121A" w:rsidP="000A121A">
      <w:pPr>
        <w:spacing w:line="15" w:lineRule="exact"/>
        <w:ind w:right="-8"/>
        <w:jc w:val="both"/>
        <w:rPr>
          <w:rFonts w:eastAsia="Calibri Light"/>
        </w:rPr>
      </w:pPr>
    </w:p>
    <w:p w14:paraId="5A5168E2" w14:textId="77777777" w:rsidR="000A121A" w:rsidRPr="000A121A" w:rsidRDefault="000A121A">
      <w:pPr>
        <w:numPr>
          <w:ilvl w:val="0"/>
          <w:numId w:val="50"/>
        </w:numPr>
        <w:tabs>
          <w:tab w:val="left" w:pos="164"/>
        </w:tabs>
        <w:ind w:right="-8"/>
        <w:jc w:val="both"/>
        <w:rPr>
          <w:rFonts w:eastAsia="Calibri Light"/>
        </w:rPr>
      </w:pPr>
      <w:r w:rsidRPr="000A121A">
        <w:rPr>
          <w:rFonts w:eastAsia="Calibri Light"/>
        </w:rPr>
        <w:t>sporządzenie przedmiarów robót i kosztorysów inwestorskich dla wymienionych wyżej branż,</w:t>
      </w:r>
    </w:p>
    <w:p w14:paraId="003182A4" w14:textId="77777777" w:rsidR="000A121A" w:rsidRPr="000A121A" w:rsidRDefault="000A121A" w:rsidP="000A121A">
      <w:pPr>
        <w:spacing w:line="17" w:lineRule="exact"/>
        <w:ind w:right="-8"/>
        <w:jc w:val="both"/>
        <w:rPr>
          <w:rFonts w:eastAsia="Calibri Light"/>
        </w:rPr>
      </w:pPr>
    </w:p>
    <w:p w14:paraId="066D8D92" w14:textId="77777777" w:rsidR="000A121A" w:rsidRPr="000A121A" w:rsidRDefault="000A121A">
      <w:pPr>
        <w:numPr>
          <w:ilvl w:val="0"/>
          <w:numId w:val="50"/>
        </w:numPr>
        <w:tabs>
          <w:tab w:val="left" w:pos="164"/>
        </w:tabs>
        <w:ind w:right="-8"/>
        <w:jc w:val="both"/>
        <w:rPr>
          <w:rFonts w:eastAsia="Calibri Light"/>
        </w:rPr>
      </w:pPr>
      <w:r w:rsidRPr="000A121A">
        <w:rPr>
          <w:rFonts w:eastAsia="Calibri Light"/>
        </w:rPr>
        <w:t>opracowanie informacji dotyczącej bezpieczeństwa i ochrony zdrowia,</w:t>
      </w:r>
    </w:p>
    <w:p w14:paraId="33DCD22A" w14:textId="77777777" w:rsidR="000A121A" w:rsidRPr="000A121A" w:rsidRDefault="000A121A" w:rsidP="000A121A">
      <w:pPr>
        <w:spacing w:line="63" w:lineRule="exact"/>
        <w:ind w:right="-8"/>
        <w:jc w:val="both"/>
        <w:rPr>
          <w:rFonts w:eastAsia="Calibri Light"/>
        </w:rPr>
      </w:pPr>
    </w:p>
    <w:p w14:paraId="397758FB" w14:textId="77777777" w:rsidR="000A121A" w:rsidRPr="000A121A" w:rsidRDefault="000A121A">
      <w:pPr>
        <w:numPr>
          <w:ilvl w:val="0"/>
          <w:numId w:val="50"/>
        </w:numPr>
        <w:tabs>
          <w:tab w:val="left" w:pos="165"/>
        </w:tabs>
        <w:spacing w:line="218" w:lineRule="auto"/>
        <w:ind w:right="-8"/>
        <w:jc w:val="both"/>
        <w:rPr>
          <w:rFonts w:eastAsia="Calibri Light"/>
        </w:rPr>
      </w:pPr>
      <w:r w:rsidRPr="000A121A">
        <w:rPr>
          <w:rFonts w:eastAsia="Calibri Light"/>
        </w:rPr>
        <w:t>sporządzenie projektu stałej organizacji ruchu i organizacji na czas wykonywania robót z kompletem wymaganych uzgodnień,</w:t>
      </w:r>
    </w:p>
    <w:p w14:paraId="329D5FED" w14:textId="77777777" w:rsidR="000A121A" w:rsidRPr="000A121A" w:rsidRDefault="000A121A" w:rsidP="000A121A">
      <w:pPr>
        <w:spacing w:line="270" w:lineRule="exact"/>
        <w:ind w:right="-8"/>
        <w:jc w:val="both"/>
      </w:pPr>
    </w:p>
    <w:p w14:paraId="0C3AC0EB" w14:textId="285E2AC1" w:rsidR="000A121A" w:rsidRPr="000A121A" w:rsidRDefault="000A121A" w:rsidP="000A121A">
      <w:pPr>
        <w:ind w:right="-8"/>
        <w:jc w:val="both"/>
      </w:pPr>
      <w:r w:rsidRPr="000A121A">
        <w:rPr>
          <w:rFonts w:eastAsia="Calibri Light"/>
          <w:b/>
          <w:bCs/>
        </w:rPr>
        <w:t>W zakres przebudowy drogi powiatowej nr 1031Z, odcinek Świerzno - Gostyniec wchodzi:</w:t>
      </w:r>
      <w:r>
        <w:t xml:space="preserve"> </w:t>
      </w:r>
      <w:r w:rsidRPr="000A121A">
        <w:rPr>
          <w:rFonts w:eastAsia="Calibri Light"/>
          <w:b/>
          <w:bCs/>
          <w:u w:val="single"/>
        </w:rPr>
        <w:t>ODCINEK 0+000 – 2+495</w:t>
      </w:r>
      <w:r>
        <w:t xml:space="preserve"> </w:t>
      </w:r>
      <w:r w:rsidRPr="000A121A">
        <w:rPr>
          <w:rFonts w:eastAsia="Calibri Light"/>
          <w:b/>
          <w:bCs/>
        </w:rPr>
        <w:t>Warunki geotechniczne proste</w:t>
      </w:r>
    </w:p>
    <w:p w14:paraId="4507AFA4" w14:textId="6DE5438B" w:rsidR="000A121A" w:rsidRPr="000A121A" w:rsidRDefault="000A121A" w:rsidP="000A121A">
      <w:pPr>
        <w:ind w:right="-8"/>
        <w:jc w:val="both"/>
      </w:pPr>
      <w:r>
        <w:rPr>
          <w:rFonts w:eastAsia="Calibri Light"/>
        </w:rPr>
        <w:t xml:space="preserve">- </w:t>
      </w:r>
      <w:r w:rsidRPr="000A121A">
        <w:rPr>
          <w:rFonts w:eastAsia="Calibri Light"/>
        </w:rPr>
        <w:t>Projektowana nawierzchnia powinna przebiegać po śladzie nawierzchni istniejącej.</w:t>
      </w:r>
    </w:p>
    <w:p w14:paraId="52EA103A" w14:textId="6D4A6851" w:rsidR="000A121A" w:rsidRPr="000A121A" w:rsidRDefault="000A121A" w:rsidP="000A121A">
      <w:pPr>
        <w:tabs>
          <w:tab w:val="left" w:pos="724"/>
        </w:tabs>
        <w:spacing w:line="238" w:lineRule="auto"/>
        <w:ind w:right="-8"/>
        <w:jc w:val="both"/>
        <w:rPr>
          <w:rFonts w:eastAsia="Symbol"/>
        </w:rPr>
      </w:pPr>
      <w:r>
        <w:rPr>
          <w:rFonts w:eastAsia="Calibri Light"/>
        </w:rPr>
        <w:t xml:space="preserve">- </w:t>
      </w:r>
      <w:r w:rsidRPr="000A121A">
        <w:rPr>
          <w:rFonts w:eastAsia="Calibri Light"/>
        </w:rPr>
        <w:t>Wycinka drzew zgodnie z inwentaryzacją zieleni</w:t>
      </w:r>
      <w:r>
        <w:rPr>
          <w:rFonts w:eastAsia="Calibri Light"/>
        </w:rPr>
        <w:t>.</w:t>
      </w:r>
    </w:p>
    <w:p w14:paraId="787D5F41" w14:textId="77777777" w:rsidR="000A121A" w:rsidRPr="000A121A" w:rsidRDefault="000A121A" w:rsidP="000A121A">
      <w:pPr>
        <w:spacing w:line="26" w:lineRule="exact"/>
        <w:ind w:right="-8"/>
        <w:jc w:val="both"/>
        <w:rPr>
          <w:rFonts w:eastAsia="Symbol"/>
        </w:rPr>
      </w:pPr>
    </w:p>
    <w:p w14:paraId="7CBC26D0" w14:textId="1F968A75" w:rsidR="000A121A" w:rsidRPr="000A121A" w:rsidRDefault="000A121A" w:rsidP="000A121A">
      <w:pPr>
        <w:tabs>
          <w:tab w:val="left" w:pos="724"/>
        </w:tabs>
        <w:spacing w:line="221" w:lineRule="auto"/>
        <w:ind w:right="-8"/>
        <w:jc w:val="both"/>
        <w:rPr>
          <w:rFonts w:eastAsia="Symbol"/>
        </w:rPr>
      </w:pPr>
      <w:r>
        <w:rPr>
          <w:rFonts w:eastAsia="Calibri Light"/>
        </w:rPr>
        <w:t xml:space="preserve">- </w:t>
      </w:r>
      <w:r w:rsidRPr="000A121A">
        <w:rPr>
          <w:rFonts w:eastAsia="Calibri Light"/>
        </w:rPr>
        <w:t>Sfrezowanie istniejącej nawierzchni bitumicznej (starej)</w:t>
      </w:r>
      <w:r>
        <w:rPr>
          <w:rFonts w:eastAsia="Calibri Light"/>
        </w:rPr>
        <w:t>.</w:t>
      </w:r>
    </w:p>
    <w:p w14:paraId="38F48E6E" w14:textId="77777777" w:rsidR="000A121A" w:rsidRPr="000A121A" w:rsidRDefault="000A121A" w:rsidP="000A121A">
      <w:pPr>
        <w:spacing w:line="21" w:lineRule="exact"/>
        <w:ind w:right="-8"/>
        <w:jc w:val="both"/>
      </w:pPr>
      <w:bookmarkStart w:id="1" w:name="page4"/>
      <w:bookmarkEnd w:id="1"/>
    </w:p>
    <w:p w14:paraId="1908DC25" w14:textId="43B205D5" w:rsidR="000A121A" w:rsidRPr="000A121A" w:rsidRDefault="000A121A" w:rsidP="000A121A">
      <w:pPr>
        <w:tabs>
          <w:tab w:val="left" w:pos="720"/>
        </w:tabs>
        <w:spacing w:line="214" w:lineRule="auto"/>
        <w:ind w:right="-8"/>
        <w:jc w:val="both"/>
        <w:rPr>
          <w:rFonts w:eastAsia="Symbol"/>
        </w:rPr>
      </w:pPr>
      <w:r>
        <w:rPr>
          <w:rFonts w:eastAsia="Calibri Light"/>
        </w:rPr>
        <w:t xml:space="preserve">- </w:t>
      </w:r>
      <w:r w:rsidRPr="000A121A">
        <w:rPr>
          <w:rFonts w:eastAsia="Calibri Light"/>
        </w:rPr>
        <w:t>Wykonanie koniecznych poszerzeń oraz wymiany zniszczonej konstrukcji na odcinkach koniecznych</w:t>
      </w:r>
      <w:r>
        <w:rPr>
          <w:rFonts w:eastAsia="Calibri Light"/>
        </w:rPr>
        <w:t>.</w:t>
      </w:r>
    </w:p>
    <w:p w14:paraId="03F2242D" w14:textId="77777777" w:rsidR="000A121A" w:rsidRPr="000A121A" w:rsidRDefault="000A121A" w:rsidP="000A121A">
      <w:pPr>
        <w:spacing w:line="1" w:lineRule="exact"/>
        <w:ind w:right="-8"/>
        <w:jc w:val="both"/>
        <w:rPr>
          <w:rFonts w:eastAsia="Symbol"/>
        </w:rPr>
      </w:pPr>
    </w:p>
    <w:p w14:paraId="7B6296AE" w14:textId="696E3346" w:rsidR="000A121A" w:rsidRPr="000A121A" w:rsidRDefault="000A121A" w:rsidP="000A121A">
      <w:pPr>
        <w:tabs>
          <w:tab w:val="left" w:pos="720"/>
        </w:tabs>
        <w:ind w:right="-8"/>
        <w:jc w:val="both"/>
        <w:rPr>
          <w:rFonts w:eastAsia="Symbol"/>
        </w:rPr>
      </w:pPr>
      <w:r>
        <w:rPr>
          <w:rFonts w:eastAsia="Calibri Light"/>
        </w:rPr>
        <w:t xml:space="preserve">- </w:t>
      </w:r>
      <w:r w:rsidRPr="000A121A">
        <w:rPr>
          <w:rFonts w:eastAsia="Calibri Light"/>
        </w:rPr>
        <w:t>Budowa drogi rowerowej po prawej stronie zgodnie z technologią robót</w:t>
      </w:r>
      <w:r>
        <w:rPr>
          <w:rFonts w:eastAsia="Calibri Light"/>
        </w:rPr>
        <w:t>.</w:t>
      </w:r>
    </w:p>
    <w:p w14:paraId="103B843B" w14:textId="77777777" w:rsidR="000A121A" w:rsidRPr="000A121A" w:rsidRDefault="000A121A" w:rsidP="000A121A">
      <w:pPr>
        <w:spacing w:line="24" w:lineRule="exact"/>
        <w:ind w:right="-8"/>
        <w:jc w:val="both"/>
        <w:rPr>
          <w:rFonts w:eastAsia="Symbol"/>
        </w:rPr>
      </w:pPr>
    </w:p>
    <w:p w14:paraId="564C7804" w14:textId="2B74745E" w:rsidR="000A121A" w:rsidRPr="000A121A" w:rsidRDefault="000A121A" w:rsidP="000A121A">
      <w:pPr>
        <w:tabs>
          <w:tab w:val="left" w:pos="720"/>
        </w:tabs>
        <w:spacing w:line="219" w:lineRule="auto"/>
        <w:ind w:right="-8"/>
        <w:jc w:val="both"/>
        <w:rPr>
          <w:rFonts w:eastAsia="Symbol"/>
        </w:rPr>
      </w:pPr>
      <w:r>
        <w:rPr>
          <w:rFonts w:eastAsia="Calibri Light"/>
        </w:rPr>
        <w:t xml:space="preserve">- </w:t>
      </w:r>
      <w:r w:rsidRPr="000A121A">
        <w:rPr>
          <w:rFonts w:eastAsia="Calibri Light"/>
        </w:rPr>
        <w:t>Wykonanie warstwy wyrównawczej z masy mineralno – bitumicznej</w:t>
      </w:r>
    </w:p>
    <w:p w14:paraId="4EA50E37" w14:textId="77777777" w:rsidR="000A121A" w:rsidRPr="000A121A" w:rsidRDefault="000A121A" w:rsidP="000A121A">
      <w:pPr>
        <w:spacing w:line="67" w:lineRule="exact"/>
        <w:ind w:right="-8"/>
        <w:jc w:val="both"/>
        <w:rPr>
          <w:rFonts w:eastAsia="Symbol"/>
        </w:rPr>
      </w:pPr>
    </w:p>
    <w:p w14:paraId="2D1F28E0" w14:textId="244AECE1" w:rsidR="000A121A" w:rsidRPr="000A121A" w:rsidRDefault="000A121A" w:rsidP="000A121A">
      <w:pPr>
        <w:tabs>
          <w:tab w:val="left" w:pos="720"/>
        </w:tabs>
        <w:spacing w:line="213" w:lineRule="auto"/>
        <w:ind w:right="-8"/>
        <w:jc w:val="both"/>
        <w:rPr>
          <w:rFonts w:eastAsia="Symbol"/>
        </w:rPr>
      </w:pPr>
      <w:r>
        <w:rPr>
          <w:rFonts w:eastAsia="Calibri Light"/>
        </w:rPr>
        <w:t xml:space="preserve">- </w:t>
      </w:r>
      <w:r w:rsidRPr="000A121A">
        <w:rPr>
          <w:rFonts w:eastAsia="Calibri Light"/>
        </w:rPr>
        <w:t>Ułożenie na warstwie wyrównawczej geosiatki z włókna szklanego-węglowego na całej szerokości wykonywanych robót</w:t>
      </w:r>
      <w:r>
        <w:rPr>
          <w:rFonts w:eastAsia="Calibri Light"/>
        </w:rPr>
        <w:t>.</w:t>
      </w:r>
    </w:p>
    <w:p w14:paraId="1F6FEB80" w14:textId="77777777" w:rsidR="000A121A" w:rsidRPr="000A121A" w:rsidRDefault="000A121A" w:rsidP="000A121A">
      <w:pPr>
        <w:spacing w:line="66" w:lineRule="exact"/>
        <w:ind w:right="-8"/>
        <w:jc w:val="both"/>
        <w:rPr>
          <w:rFonts w:eastAsia="Symbol"/>
        </w:rPr>
      </w:pPr>
    </w:p>
    <w:p w14:paraId="23AA43FA" w14:textId="1FB3D3A7" w:rsidR="000A121A" w:rsidRPr="000A121A" w:rsidRDefault="000A121A" w:rsidP="000A121A">
      <w:pPr>
        <w:tabs>
          <w:tab w:val="left" w:pos="720"/>
        </w:tabs>
        <w:spacing w:line="223" w:lineRule="auto"/>
        <w:ind w:right="-8"/>
        <w:jc w:val="both"/>
        <w:rPr>
          <w:rFonts w:eastAsia="Symbol"/>
        </w:rPr>
      </w:pPr>
      <w:r>
        <w:rPr>
          <w:rFonts w:eastAsia="Calibri Light"/>
        </w:rPr>
        <w:t xml:space="preserve">- </w:t>
      </w:r>
      <w:r w:rsidRPr="000A121A">
        <w:rPr>
          <w:rFonts w:eastAsia="Calibri Light"/>
        </w:rPr>
        <w:t>Ułożenie nawierzchni z mieszanek mineralno-bitumicznych asfaltowych standard I - warstwa ścieralna o grubości po zagęszczeniu 5cm wraz ze skropieniem emulsją AC11S</w:t>
      </w:r>
    </w:p>
    <w:p w14:paraId="55FE8351" w14:textId="77777777" w:rsidR="000A121A" w:rsidRPr="000A121A" w:rsidRDefault="000A121A" w:rsidP="000A121A">
      <w:pPr>
        <w:spacing w:line="1" w:lineRule="exact"/>
        <w:ind w:right="-8"/>
        <w:jc w:val="both"/>
        <w:rPr>
          <w:rFonts w:eastAsia="Symbol"/>
        </w:rPr>
      </w:pPr>
    </w:p>
    <w:p w14:paraId="7776C17A" w14:textId="2AFC18AA" w:rsidR="000A121A" w:rsidRPr="000A121A" w:rsidRDefault="000A121A" w:rsidP="000A121A">
      <w:pPr>
        <w:ind w:right="-8"/>
        <w:jc w:val="both"/>
        <w:rPr>
          <w:rFonts w:eastAsia="Calibri Light"/>
        </w:rPr>
      </w:pPr>
      <w:r w:rsidRPr="000A121A">
        <w:rPr>
          <w:rFonts w:eastAsia="Calibri Light"/>
        </w:rPr>
        <w:t>CAŁOŚĆ ROBÓT BITUMICZNYCH - JEZDNIA + SKRZYŻOWANIA + DROGA ROWEROWA</w:t>
      </w:r>
      <w:r>
        <w:rPr>
          <w:rFonts w:eastAsia="Calibri Light"/>
        </w:rPr>
        <w:t>.</w:t>
      </w:r>
    </w:p>
    <w:p w14:paraId="553E5898" w14:textId="5D04D27E" w:rsidR="000A121A" w:rsidRPr="000A121A" w:rsidRDefault="000A121A" w:rsidP="000A121A">
      <w:pPr>
        <w:tabs>
          <w:tab w:val="left" w:pos="720"/>
        </w:tabs>
        <w:ind w:right="-8"/>
        <w:jc w:val="both"/>
        <w:rPr>
          <w:rFonts w:eastAsia="Symbol"/>
        </w:rPr>
      </w:pPr>
      <w:r>
        <w:rPr>
          <w:rFonts w:eastAsia="Calibri Light"/>
        </w:rPr>
        <w:t xml:space="preserve">- </w:t>
      </w:r>
      <w:r w:rsidRPr="000A121A">
        <w:rPr>
          <w:rFonts w:eastAsia="Calibri Light"/>
        </w:rPr>
        <w:t>Zebranie warstwy humusu na odcinkach, gdzie jest to konieczne</w:t>
      </w:r>
      <w:r>
        <w:rPr>
          <w:rFonts w:eastAsia="Calibri Light"/>
        </w:rPr>
        <w:t>.</w:t>
      </w:r>
    </w:p>
    <w:p w14:paraId="53D9978F" w14:textId="77777777" w:rsidR="000A121A" w:rsidRPr="000A121A" w:rsidRDefault="000A121A" w:rsidP="000A121A">
      <w:pPr>
        <w:spacing w:line="24" w:lineRule="exact"/>
        <w:ind w:right="-8"/>
        <w:jc w:val="both"/>
        <w:rPr>
          <w:rFonts w:eastAsia="Symbol"/>
        </w:rPr>
      </w:pPr>
    </w:p>
    <w:p w14:paraId="5D9828B5" w14:textId="0D99B6C1" w:rsidR="000A121A" w:rsidRPr="000A121A" w:rsidRDefault="000A121A" w:rsidP="000A121A">
      <w:pPr>
        <w:tabs>
          <w:tab w:val="left" w:pos="720"/>
        </w:tabs>
        <w:spacing w:line="219" w:lineRule="auto"/>
        <w:ind w:right="-8"/>
        <w:jc w:val="both"/>
        <w:rPr>
          <w:rFonts w:eastAsia="Symbol"/>
        </w:rPr>
      </w:pPr>
      <w:r>
        <w:rPr>
          <w:rFonts w:eastAsia="Calibri Light"/>
        </w:rPr>
        <w:t xml:space="preserve">- </w:t>
      </w:r>
      <w:r w:rsidRPr="000A121A">
        <w:rPr>
          <w:rFonts w:eastAsia="Calibri Light"/>
        </w:rPr>
        <w:t>Profilowanie i zagęszczanie podłoża</w:t>
      </w:r>
      <w:r>
        <w:rPr>
          <w:rFonts w:eastAsia="Calibri Light"/>
        </w:rPr>
        <w:t>.</w:t>
      </w:r>
    </w:p>
    <w:p w14:paraId="315E86D7" w14:textId="77777777" w:rsidR="000A121A" w:rsidRPr="000A121A" w:rsidRDefault="000A121A" w:rsidP="000A121A">
      <w:pPr>
        <w:spacing w:line="65" w:lineRule="exact"/>
        <w:ind w:right="-8"/>
        <w:jc w:val="both"/>
        <w:rPr>
          <w:rFonts w:eastAsia="Symbol"/>
        </w:rPr>
      </w:pPr>
    </w:p>
    <w:p w14:paraId="1267ACD7" w14:textId="2B5C40CD" w:rsidR="000A121A" w:rsidRPr="000A121A" w:rsidRDefault="000A121A" w:rsidP="000A121A">
      <w:pPr>
        <w:spacing w:line="214" w:lineRule="auto"/>
        <w:ind w:right="-8"/>
        <w:jc w:val="both"/>
        <w:rPr>
          <w:rFonts w:eastAsia="Symbol"/>
        </w:rPr>
      </w:pPr>
      <w:r>
        <w:rPr>
          <w:rFonts w:eastAsia="Calibri Light"/>
        </w:rPr>
        <w:t>- H</w:t>
      </w:r>
      <w:r w:rsidRPr="000A121A">
        <w:rPr>
          <w:rFonts w:eastAsia="Calibri Light"/>
        </w:rPr>
        <w:t>umusowanie i obsianie mieszanką traw terenów biologicznie czynnych, skarp</w:t>
      </w:r>
      <w:r>
        <w:rPr>
          <w:rFonts w:eastAsia="Calibri Light"/>
        </w:rPr>
        <w:t xml:space="preserve"> </w:t>
      </w:r>
      <w:r w:rsidRPr="000A121A">
        <w:rPr>
          <w:rFonts w:eastAsia="Calibri Light"/>
        </w:rPr>
        <w:t>projektowanych i odtwarzanych rowów przydrożnych</w:t>
      </w:r>
      <w:r w:rsidRPr="000A121A">
        <w:rPr>
          <w:rFonts w:eastAsia="Calibri Light"/>
          <w:b/>
          <w:bCs/>
        </w:rPr>
        <w:t>.</w:t>
      </w:r>
    </w:p>
    <w:p w14:paraId="037A2B42" w14:textId="2E5E7991" w:rsidR="006B56F0" w:rsidRPr="000A121A" w:rsidRDefault="006B56F0" w:rsidP="000A121A">
      <w:pPr>
        <w:spacing w:line="227" w:lineRule="auto"/>
        <w:ind w:right="-8"/>
        <w:jc w:val="both"/>
        <w:rPr>
          <w:rFonts w:eastAsia="Calibri"/>
        </w:rPr>
      </w:pPr>
    </w:p>
    <w:p w14:paraId="78E2B737" w14:textId="00DA3376" w:rsidR="00172880" w:rsidRPr="00A209C9" w:rsidRDefault="00172880" w:rsidP="000A121A">
      <w:pPr>
        <w:spacing w:line="227" w:lineRule="auto"/>
        <w:ind w:right="-8"/>
        <w:jc w:val="both"/>
        <w:rPr>
          <w:rFonts w:eastAsiaTheme="majorEastAsia"/>
          <w:b/>
          <w:lang w:eastAsia="en-US"/>
        </w:rPr>
      </w:pPr>
      <w:r w:rsidRPr="00A209C9">
        <w:rPr>
          <w:rFonts w:eastAsiaTheme="majorEastAsia"/>
          <w:b/>
          <w:lang w:eastAsia="en-US"/>
        </w:rPr>
        <w:t>Szczegółowy opis przedmiotu zamówienia, opis wymagań zamawiającego w zakresie realizacji i odbioru określają:</w:t>
      </w:r>
    </w:p>
    <w:p w14:paraId="450065FA" w14:textId="6FE08378" w:rsidR="00E14300" w:rsidRPr="00BC2478" w:rsidRDefault="00172880" w:rsidP="000A121A">
      <w:pPr>
        <w:numPr>
          <w:ilvl w:val="0"/>
          <w:numId w:val="4"/>
        </w:numPr>
        <w:spacing w:after="200" w:line="252" w:lineRule="auto"/>
        <w:ind w:left="0" w:right="-8" w:firstLine="0"/>
        <w:contextualSpacing/>
        <w:jc w:val="both"/>
        <w:rPr>
          <w:rFonts w:eastAsiaTheme="majorEastAsia"/>
          <w:bCs/>
          <w:color w:val="000000" w:themeColor="text1"/>
          <w:lang w:eastAsia="en-US"/>
        </w:rPr>
      </w:pPr>
      <w:r w:rsidRPr="00A209C9">
        <w:rPr>
          <w:rFonts w:eastAsiaTheme="majorEastAsia"/>
          <w:color w:val="000000" w:themeColor="text1"/>
          <w:lang w:eastAsia="en-US"/>
        </w:rPr>
        <w:t xml:space="preserve">opis przedmiotu zamówienia znajduje się w </w:t>
      </w:r>
      <w:r w:rsidR="00BC2478">
        <w:rPr>
          <w:rFonts w:eastAsiaTheme="majorEastAsia"/>
          <w:color w:val="000000" w:themeColor="text1"/>
          <w:lang w:eastAsia="en-US"/>
        </w:rPr>
        <w:t xml:space="preserve">programie funkcjonalno-użytkowym </w:t>
      </w:r>
      <w:r w:rsidRPr="00A209C9">
        <w:rPr>
          <w:rFonts w:eastAsiaTheme="majorEastAsia"/>
          <w:color w:val="000000" w:themeColor="text1"/>
          <w:lang w:eastAsia="en-US"/>
        </w:rPr>
        <w:t xml:space="preserve"> </w:t>
      </w:r>
      <w:r w:rsidRPr="00A209C9">
        <w:rPr>
          <w:rFonts w:eastAsiaTheme="majorEastAsia"/>
          <w:bCs/>
          <w:color w:val="000000" w:themeColor="text1"/>
          <w:lang w:eastAsia="en-US"/>
        </w:rPr>
        <w:t xml:space="preserve"> </w:t>
      </w:r>
      <w:r w:rsidR="007F61ED" w:rsidRPr="00A209C9">
        <w:rPr>
          <w:rFonts w:eastAsiaTheme="majorEastAsia"/>
          <w:color w:val="000000" w:themeColor="text1"/>
          <w:lang w:eastAsia="en-US"/>
        </w:rPr>
        <w:t xml:space="preserve">– </w:t>
      </w:r>
      <w:r w:rsidR="00E14300" w:rsidRPr="00A209C9">
        <w:rPr>
          <w:rFonts w:eastAsiaTheme="majorEastAsia"/>
          <w:b/>
          <w:color w:val="000000" w:themeColor="text1"/>
          <w:lang w:eastAsia="en-US"/>
        </w:rPr>
        <w:t xml:space="preserve">załącznik nr </w:t>
      </w:r>
      <w:r w:rsidR="00582A48">
        <w:rPr>
          <w:rFonts w:eastAsiaTheme="majorEastAsia"/>
          <w:b/>
          <w:color w:val="000000" w:themeColor="text1"/>
          <w:lang w:eastAsia="en-US"/>
        </w:rPr>
        <w:t xml:space="preserve">8 </w:t>
      </w:r>
      <w:r w:rsidRPr="00A209C9">
        <w:rPr>
          <w:rFonts w:eastAsiaTheme="majorEastAsia"/>
          <w:b/>
          <w:color w:val="000000" w:themeColor="text1"/>
          <w:lang w:eastAsia="en-US"/>
        </w:rPr>
        <w:t xml:space="preserve">do SWZ, </w:t>
      </w:r>
    </w:p>
    <w:p w14:paraId="6BC0418B" w14:textId="6F1413CC" w:rsidR="00172880" w:rsidRPr="00BC2478" w:rsidRDefault="00172880" w:rsidP="000A121A">
      <w:pPr>
        <w:numPr>
          <w:ilvl w:val="0"/>
          <w:numId w:val="4"/>
        </w:numPr>
        <w:spacing w:after="200" w:line="252" w:lineRule="auto"/>
        <w:ind w:left="0" w:right="-8" w:firstLine="0"/>
        <w:contextualSpacing/>
        <w:jc w:val="both"/>
        <w:rPr>
          <w:rFonts w:eastAsiaTheme="majorEastAsia"/>
          <w:color w:val="000000" w:themeColor="text1"/>
          <w:lang w:eastAsia="en-US"/>
        </w:rPr>
      </w:pPr>
      <w:r w:rsidRPr="00BC2478">
        <w:rPr>
          <w:rFonts w:eastAsiaTheme="majorEastAsia"/>
          <w:color w:val="000000" w:themeColor="text1"/>
          <w:lang w:eastAsia="en-US"/>
        </w:rPr>
        <w:t xml:space="preserve">projektowane postanowienia umowy – </w:t>
      </w:r>
      <w:r w:rsidR="00E14300" w:rsidRPr="00BC2478">
        <w:rPr>
          <w:rFonts w:eastAsiaTheme="majorEastAsia"/>
          <w:b/>
          <w:color w:val="000000" w:themeColor="text1"/>
          <w:lang w:eastAsia="en-US"/>
        </w:rPr>
        <w:t xml:space="preserve">załącznik nr </w:t>
      </w:r>
      <w:r w:rsidR="00453AAA">
        <w:rPr>
          <w:rFonts w:eastAsiaTheme="majorEastAsia"/>
          <w:b/>
          <w:color w:val="000000" w:themeColor="text1"/>
          <w:lang w:eastAsia="en-US"/>
        </w:rPr>
        <w:t xml:space="preserve">2 </w:t>
      </w:r>
      <w:r w:rsidRPr="00BC2478">
        <w:rPr>
          <w:rFonts w:eastAsiaTheme="majorEastAsia"/>
          <w:b/>
          <w:color w:val="000000" w:themeColor="text1"/>
          <w:lang w:eastAsia="en-US"/>
        </w:rPr>
        <w:t xml:space="preserve">do </w:t>
      </w:r>
      <w:r w:rsidR="006979D1" w:rsidRPr="00BC2478">
        <w:rPr>
          <w:rFonts w:eastAsiaTheme="majorEastAsia"/>
          <w:b/>
          <w:color w:val="000000" w:themeColor="text1"/>
          <w:lang w:eastAsia="en-US"/>
        </w:rPr>
        <w:t>SWZ</w:t>
      </w:r>
    </w:p>
    <w:p w14:paraId="499F58BF" w14:textId="77777777" w:rsidR="00172880" w:rsidRPr="00A209C9" w:rsidRDefault="00172880" w:rsidP="000A121A">
      <w:pPr>
        <w:ind w:right="-8"/>
        <w:jc w:val="both"/>
        <w:rPr>
          <w:rFonts w:eastAsiaTheme="majorEastAsia"/>
          <w:color w:val="000000" w:themeColor="text1"/>
          <w:lang w:eastAsia="en-US"/>
        </w:rPr>
      </w:pPr>
    </w:p>
    <w:p w14:paraId="011C7CEB" w14:textId="77777777" w:rsidR="00172880" w:rsidRPr="00A209C9" w:rsidRDefault="00172880" w:rsidP="000A121A">
      <w:pPr>
        <w:ind w:right="-8"/>
        <w:jc w:val="both"/>
        <w:rPr>
          <w:rFonts w:eastAsiaTheme="majorEastAsia"/>
          <w:color w:val="000000" w:themeColor="text1"/>
          <w:lang w:eastAsia="en-US"/>
        </w:rPr>
      </w:pPr>
      <w:r w:rsidRPr="00A209C9">
        <w:rPr>
          <w:rFonts w:eastAsiaTheme="majorEastAsia"/>
          <w:color w:val="000000" w:themeColor="text1"/>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3CF0FB91" w14:textId="77777777" w:rsidR="00172880" w:rsidRPr="00A209C9" w:rsidRDefault="00172880" w:rsidP="000A121A">
      <w:pPr>
        <w:ind w:right="-8"/>
        <w:jc w:val="both"/>
        <w:rPr>
          <w:b/>
          <w:color w:val="00B050"/>
        </w:rPr>
      </w:pPr>
    </w:p>
    <w:p w14:paraId="6B824211" w14:textId="6A47A9CC" w:rsidR="00E10B4D" w:rsidRPr="000A121A" w:rsidRDefault="00E10B4D">
      <w:pPr>
        <w:pStyle w:val="Akapitzlist"/>
        <w:numPr>
          <w:ilvl w:val="0"/>
          <w:numId w:val="7"/>
        </w:numPr>
        <w:spacing w:after="200" w:line="252" w:lineRule="auto"/>
        <w:ind w:right="-8"/>
        <w:contextualSpacing/>
        <w:jc w:val="both"/>
        <w:rPr>
          <w:rFonts w:eastAsiaTheme="majorEastAsia"/>
          <w:b/>
          <w:color w:val="000000" w:themeColor="text1"/>
          <w:lang w:eastAsia="en-US"/>
        </w:rPr>
      </w:pPr>
      <w:r w:rsidRPr="000A121A">
        <w:rPr>
          <w:rFonts w:eastAsiaTheme="majorEastAsia"/>
          <w:b/>
          <w:color w:val="000000" w:themeColor="text1"/>
          <w:lang w:eastAsia="en-US"/>
        </w:rPr>
        <w:t>Gwarancja i rękojmia</w:t>
      </w:r>
    </w:p>
    <w:p w14:paraId="7F2D7A63" w14:textId="7F851E87"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gwarancji na wykonany przedmiot umowy – min. 36 m-c  do max. 60 –m-c. </w:t>
      </w:r>
    </w:p>
    <w:p w14:paraId="0EBD1DAE" w14:textId="2B59394C"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rękojmi na wykonany przedmiot umowy –  min. 36 m-c  do max. 60 –m-c. </w:t>
      </w:r>
    </w:p>
    <w:p w14:paraId="2BFB8787" w14:textId="6D5FD183" w:rsidR="00B73849" w:rsidRPr="00A209C9" w:rsidRDefault="00B73849" w:rsidP="00A209C9">
      <w:pPr>
        <w:spacing w:after="200" w:line="252" w:lineRule="auto"/>
        <w:contextualSpacing/>
        <w:jc w:val="both"/>
        <w:rPr>
          <w:rFonts w:eastAsiaTheme="majorEastAsia"/>
          <w:i/>
          <w:color w:val="002060"/>
          <w:lang w:eastAsia="en-US"/>
        </w:rPr>
      </w:pPr>
    </w:p>
    <w:p w14:paraId="4F817042" w14:textId="77777777" w:rsidR="00447382" w:rsidRPr="00A209C9" w:rsidRDefault="00447382" w:rsidP="00A209C9">
      <w:pPr>
        <w:ind w:left="-142"/>
        <w:jc w:val="both"/>
        <w:rPr>
          <w:b/>
        </w:rPr>
      </w:pPr>
    </w:p>
    <w:p w14:paraId="33BC7802" w14:textId="2B31541A" w:rsidR="00447382" w:rsidRPr="00A209C9" w:rsidRDefault="0044738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lastRenderedPageBreak/>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5B1F52F9" w14:textId="3E3F9243" w:rsidR="00172880"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który powołuje się na rozwiązania równoważne, jest zobowiązany wykazać, że oferowane przez niego rozwiązanie spełnia wymagania określone przez zamawiającego. </w:t>
      </w:r>
      <w:r w:rsidR="00582A48">
        <w:rPr>
          <w:rFonts w:eastAsiaTheme="majorEastAsia"/>
          <w:color w:val="000000" w:themeColor="text1"/>
          <w:lang w:eastAsia="en-US"/>
        </w:rPr>
        <w:t xml:space="preserve">     </w:t>
      </w:r>
      <w:r w:rsidRPr="00A209C9">
        <w:rPr>
          <w:rFonts w:eastAsiaTheme="majorEastAsia"/>
          <w:color w:val="000000" w:themeColor="text1"/>
          <w:lang w:eastAsia="en-US"/>
        </w:rPr>
        <w:t>W takim przypadku, wykonawca załącza do oferty wykaz rozwiązań równoważnych wraz z jego opisem lub normami.</w:t>
      </w:r>
    </w:p>
    <w:p w14:paraId="5092AFE2"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26724E9D"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4E3DAA5C" w14:textId="0A11AA72" w:rsidR="00C16546" w:rsidRPr="00A209C9" w:rsidRDefault="00C16546" w:rsidP="00A209C9">
      <w:pPr>
        <w:pStyle w:val="Standard"/>
        <w:jc w:val="both"/>
        <w:rPr>
          <w:color w:val="000000"/>
          <w:sz w:val="24"/>
          <w:szCs w:val="24"/>
        </w:rPr>
      </w:pPr>
      <w:r w:rsidRPr="00A209C9">
        <w:rPr>
          <w:b/>
          <w:sz w:val="24"/>
          <w:szCs w:val="24"/>
        </w:rPr>
        <w:t xml:space="preserve">- </w:t>
      </w:r>
      <w:r w:rsidRPr="00A209C9">
        <w:rPr>
          <w:color w:val="000000"/>
          <w:sz w:val="24"/>
          <w:szCs w:val="24"/>
        </w:rPr>
        <w:t>czynności związane z obsługą ciężkiego sprzętu budowlanego tj. m.in.: koparka, ładowarka, koparko-ładowarka,</w:t>
      </w:r>
      <w:r w:rsidR="007E1693" w:rsidRPr="007E1693">
        <w:t xml:space="preserve"> </w:t>
      </w:r>
      <w:r w:rsidR="007E1693">
        <w:t xml:space="preserve"> </w:t>
      </w:r>
      <w:r w:rsidR="007E1693" w:rsidRPr="007E1693">
        <w:rPr>
          <w:color w:val="000000"/>
          <w:sz w:val="24"/>
          <w:szCs w:val="24"/>
        </w:rPr>
        <w:t>pracownik fizyczny.</w:t>
      </w:r>
    </w:p>
    <w:p w14:paraId="589B2C9A" w14:textId="65881315" w:rsidR="00C16546" w:rsidRPr="00A209C9" w:rsidRDefault="00C16546" w:rsidP="00A209C9">
      <w:pPr>
        <w:pStyle w:val="Standard"/>
        <w:jc w:val="both"/>
        <w:rPr>
          <w:color w:val="000000"/>
          <w:sz w:val="24"/>
          <w:szCs w:val="24"/>
        </w:rPr>
      </w:pPr>
      <w:r w:rsidRPr="00A209C9">
        <w:rPr>
          <w:color w:val="000000"/>
          <w:sz w:val="24"/>
          <w:szCs w:val="24"/>
        </w:rPr>
        <w:t xml:space="preserve">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lastRenderedPageBreak/>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anonimizacji.</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Default="007C0085" w:rsidP="00A209C9">
      <w:pPr>
        <w:jc w:val="both"/>
      </w:pPr>
    </w:p>
    <w:p w14:paraId="586FC47B" w14:textId="77777777" w:rsidR="00397F46" w:rsidRPr="00A209C9" w:rsidRDefault="00397F46" w:rsidP="00A209C9">
      <w:pPr>
        <w:jc w:val="both"/>
      </w:pPr>
    </w:p>
    <w:p w14:paraId="594C8800" w14:textId="48014924" w:rsidR="0089169E"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Pzp</w:t>
      </w:r>
    </w:p>
    <w:p w14:paraId="4ADABCF9" w14:textId="77777777" w:rsidR="007C0085" w:rsidRPr="00A209C9" w:rsidRDefault="007C0085" w:rsidP="00A209C9">
      <w:pPr>
        <w:ind w:left="-142"/>
        <w:jc w:val="both"/>
      </w:pPr>
    </w:p>
    <w:p w14:paraId="74F50242" w14:textId="527F3A1C" w:rsidR="00B07F86"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093074D6" w14:textId="77777777" w:rsidR="00FA0BCF" w:rsidRPr="00A209C9" w:rsidRDefault="00FA0BCF" w:rsidP="00A209C9">
      <w:pPr>
        <w:ind w:left="-142"/>
        <w:jc w:val="both"/>
      </w:pPr>
    </w:p>
    <w:p w14:paraId="36269F5C" w14:textId="77777777" w:rsidR="00F04C1F" w:rsidRPr="00A209C9" w:rsidRDefault="00F04C1F" w:rsidP="00A209C9">
      <w:pPr>
        <w:jc w:val="both"/>
      </w:pPr>
    </w:p>
    <w:p w14:paraId="1503DA3D" w14:textId="4FD80391" w:rsidR="00F04C1F"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Default="00EC45FB" w:rsidP="00A209C9">
      <w:pPr>
        <w:jc w:val="both"/>
        <w:rPr>
          <w:color w:val="FF0000"/>
        </w:rPr>
      </w:pPr>
    </w:p>
    <w:p w14:paraId="5054989E" w14:textId="77777777" w:rsidR="00397F46" w:rsidRPr="00A209C9" w:rsidRDefault="00397F46" w:rsidP="00A209C9">
      <w:pPr>
        <w:jc w:val="both"/>
        <w:rPr>
          <w:color w:val="FF0000"/>
        </w:rPr>
      </w:pPr>
    </w:p>
    <w:p w14:paraId="37F8EB5C" w14:textId="44213F61" w:rsidR="00AA4F20" w:rsidRPr="00A209C9" w:rsidRDefault="00EC45FB">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041FCACE" w14:textId="79008A4A"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003A25BB">
        <w:rPr>
          <w:rFonts w:eastAsiaTheme="majorEastAsia"/>
          <w:b/>
          <w:color w:val="000000" w:themeColor="text1"/>
          <w:lang w:eastAsia="en-US"/>
        </w:rPr>
        <w:t>:</w:t>
      </w:r>
      <w:r w:rsidRPr="00A209C9">
        <w:rPr>
          <w:rFonts w:eastAsiaTheme="majorEastAsia"/>
          <w:b/>
          <w:color w:val="000000" w:themeColor="text1"/>
          <w:lang w:eastAsia="en-US"/>
        </w:rPr>
        <w:t xml:space="preserve"> </w:t>
      </w:r>
      <w:r w:rsidR="00001161">
        <w:rPr>
          <w:rFonts w:eastAsiaTheme="majorEastAsia"/>
          <w:b/>
          <w:color w:val="000000" w:themeColor="text1"/>
          <w:lang w:eastAsia="en-US"/>
        </w:rPr>
        <w:t>20</w:t>
      </w:r>
      <w:r w:rsidR="003A25BB">
        <w:rPr>
          <w:rFonts w:eastAsiaTheme="majorEastAsia"/>
          <w:b/>
          <w:color w:val="000000" w:themeColor="text1"/>
          <w:lang w:eastAsia="en-US"/>
        </w:rPr>
        <w:t xml:space="preserve"> miesi</w:t>
      </w:r>
      <w:r w:rsidR="00557547">
        <w:rPr>
          <w:rFonts w:eastAsiaTheme="majorEastAsia"/>
          <w:b/>
          <w:color w:val="000000" w:themeColor="text1"/>
          <w:lang w:eastAsia="en-US"/>
        </w:rPr>
        <w:t>ęcy</w:t>
      </w:r>
      <w:r w:rsidRPr="00A209C9">
        <w:rPr>
          <w:rFonts w:eastAsiaTheme="majorEastAsia"/>
          <w:b/>
          <w:color w:val="000000" w:themeColor="text1"/>
          <w:lang w:eastAsia="en-US"/>
        </w:rPr>
        <w:t xml:space="preserve"> od dnia </w:t>
      </w:r>
      <w:r w:rsidR="003A25BB">
        <w:rPr>
          <w:rFonts w:eastAsiaTheme="majorEastAsia"/>
          <w:b/>
          <w:color w:val="000000" w:themeColor="text1"/>
          <w:lang w:eastAsia="en-US"/>
        </w:rPr>
        <w:t>zawarcia</w:t>
      </w:r>
      <w:r w:rsidRPr="00A209C9">
        <w:rPr>
          <w:rFonts w:eastAsiaTheme="majorEastAsia"/>
          <w:b/>
          <w:color w:val="000000" w:themeColor="text1"/>
          <w:lang w:eastAsia="en-US"/>
        </w:rPr>
        <w:t xml:space="preserve"> umowy</w:t>
      </w:r>
    </w:p>
    <w:p w14:paraId="3037F29E" w14:textId="4B7E256D" w:rsidR="00EC45FB" w:rsidRPr="00A209C9" w:rsidRDefault="00EC45FB" w:rsidP="00A209C9">
      <w:pPr>
        <w:jc w:val="both"/>
        <w:rPr>
          <w:rFonts w:eastAsiaTheme="majorEastAsia"/>
          <w:b/>
          <w:color w:val="FF0000"/>
          <w:lang w:eastAsia="en-US"/>
        </w:rPr>
      </w:pPr>
    </w:p>
    <w:p w14:paraId="14051EC8" w14:textId="023C93C6" w:rsidR="00587F52"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Pzp,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lastRenderedPageBreak/>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1072E130"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nie precyzuje w tym zakresie szczególnych wymagań </w:t>
      </w:r>
    </w:p>
    <w:p w14:paraId="66EC56E6" w14:textId="77777777" w:rsidR="00BC2478"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00BC2478" w:rsidRPr="00A209C9">
        <w:rPr>
          <w:rFonts w:eastAsiaTheme="majorEastAsia"/>
          <w:color w:val="000000" w:themeColor="text1"/>
          <w:lang w:eastAsia="en-US"/>
        </w:rPr>
        <w:t xml:space="preserve">Zamawiający określa warunki udziału w części dotyczącej zdolności zawodowej na zasadach określonych poniżej. </w:t>
      </w:r>
    </w:p>
    <w:p w14:paraId="13CEAF04" w14:textId="77777777" w:rsidR="00BC2478" w:rsidRDefault="00BC2478" w:rsidP="00BC2478">
      <w:pPr>
        <w:ind w:left="218"/>
        <w:jc w:val="both"/>
        <w:rPr>
          <w:rFonts w:eastAsiaTheme="majorEastAsia"/>
          <w:color w:val="000000" w:themeColor="text1"/>
          <w:lang w:eastAsia="en-US"/>
        </w:rPr>
      </w:pPr>
    </w:p>
    <w:p w14:paraId="7B1CF0C9" w14:textId="3D90A3B0" w:rsidR="00BC2478" w:rsidRPr="003F7A55" w:rsidRDefault="00BC2478" w:rsidP="00BC2478">
      <w:pPr>
        <w:jc w:val="both"/>
        <w:rPr>
          <w:rFonts w:eastAsiaTheme="majorEastAsia"/>
          <w:b/>
          <w:color w:val="000000" w:themeColor="text1"/>
          <w:lang w:eastAsia="en-US"/>
        </w:rPr>
      </w:pPr>
      <w:r w:rsidRPr="003F7A55">
        <w:rPr>
          <w:rFonts w:eastAsiaTheme="majorEastAsia"/>
          <w:color w:val="000000" w:themeColor="text1"/>
          <w:lang w:eastAsia="en-US"/>
        </w:rPr>
        <w:t>1. Warunki dotyczące zdolności zawodowej: Doświadczenie zawodowe: wykonanie należycie, zgodnie z zasadami sztuki budowlanej i prawidłowe ukończenie co najmniej 1 (</w:t>
      </w:r>
      <w:r w:rsidRPr="00FA0BCF">
        <w:rPr>
          <w:b/>
          <w:color w:val="000000"/>
          <w:u w:val="single"/>
        </w:rPr>
        <w:t>jednej) roboty budowlanej</w:t>
      </w:r>
      <w:r w:rsidRPr="00FA0BCF">
        <w:t xml:space="preserve"> </w:t>
      </w:r>
      <w:r w:rsidR="003A25BB">
        <w:t xml:space="preserve">(przez jedną robotę Zamawiający rozumie zamówienie objęte jedną umową </w:t>
      </w:r>
      <w:r w:rsidR="003A25BB">
        <w:br/>
        <w:t xml:space="preserve">o roboty budowlane), </w:t>
      </w:r>
      <w:r w:rsidRPr="00FA0BCF">
        <w:t>polegającej na budowie</w:t>
      </w:r>
      <w:r w:rsidR="006E1B08">
        <w:t xml:space="preserve"> lub przebudowie lub rozbudowie</w:t>
      </w:r>
      <w:r w:rsidRPr="00FA0BCF">
        <w:t xml:space="preserve"> </w:t>
      </w:r>
      <w:r w:rsidR="006E1B08">
        <w:t>drogi (dróg)</w:t>
      </w:r>
      <w:r w:rsidR="006E1B08" w:rsidRPr="00453AAA">
        <w:t xml:space="preserve"> </w:t>
      </w:r>
      <w:r w:rsidR="00453AAA">
        <w:t>o nawierzchni asfaltowo-betonowej</w:t>
      </w:r>
      <w:r w:rsidRPr="003F7A55">
        <w:rPr>
          <w:rFonts w:eastAsiaTheme="majorEastAsia"/>
          <w:color w:val="000000" w:themeColor="text1"/>
          <w:lang w:eastAsia="en-US"/>
        </w:rPr>
        <w:t xml:space="preserve"> o wartości każdego zamówienia nie mniejszej niż: </w:t>
      </w:r>
      <w:r w:rsidR="007E1693">
        <w:rPr>
          <w:rFonts w:eastAsiaTheme="majorEastAsia"/>
          <w:color w:val="000000" w:themeColor="text1"/>
          <w:lang w:eastAsia="en-US"/>
        </w:rPr>
        <w:t>7</w:t>
      </w:r>
      <w:r w:rsidR="003A25BB">
        <w:rPr>
          <w:rFonts w:eastAsiaTheme="majorEastAsia"/>
          <w:color w:val="000000" w:themeColor="text1"/>
          <w:lang w:eastAsia="en-US"/>
        </w:rPr>
        <w:t xml:space="preserve"> 000 000 </w:t>
      </w:r>
      <w:r w:rsidRPr="003F7A55">
        <w:rPr>
          <w:rFonts w:eastAsiaTheme="majorEastAsia"/>
          <w:color w:val="000000" w:themeColor="text1"/>
          <w:lang w:eastAsia="en-US"/>
        </w:rPr>
        <w:t xml:space="preserve"> PLN brutto</w:t>
      </w:r>
      <w:r w:rsidR="00597E80">
        <w:rPr>
          <w:rFonts w:eastAsiaTheme="majorEastAsia"/>
          <w:color w:val="000000" w:themeColor="text1"/>
          <w:lang w:eastAsia="en-US"/>
        </w:rPr>
        <w:t xml:space="preserve"> (</w:t>
      </w:r>
      <w:r w:rsidR="007E1693">
        <w:rPr>
          <w:rFonts w:eastAsiaTheme="majorEastAsia"/>
          <w:color w:val="000000" w:themeColor="text1"/>
          <w:lang w:eastAsia="en-US"/>
        </w:rPr>
        <w:t>siedem</w:t>
      </w:r>
      <w:r w:rsidR="00597E80">
        <w:rPr>
          <w:rFonts w:eastAsiaTheme="majorEastAsia"/>
          <w:color w:val="000000" w:themeColor="text1"/>
          <w:lang w:eastAsia="en-US"/>
        </w:rPr>
        <w:t xml:space="preserve"> milion</w:t>
      </w:r>
      <w:r w:rsidR="00BB73E8">
        <w:rPr>
          <w:rFonts w:eastAsiaTheme="majorEastAsia"/>
          <w:color w:val="000000" w:themeColor="text1"/>
          <w:lang w:eastAsia="en-US"/>
        </w:rPr>
        <w:t xml:space="preserve">ów </w:t>
      </w:r>
      <w:r w:rsidR="003A25BB">
        <w:rPr>
          <w:rFonts w:eastAsiaTheme="majorEastAsia"/>
          <w:color w:val="000000" w:themeColor="text1"/>
          <w:lang w:eastAsia="en-US"/>
        </w:rPr>
        <w:t>złotych brutto)</w:t>
      </w:r>
      <w:r w:rsidRPr="003F7A55">
        <w:rPr>
          <w:rFonts w:eastAsiaTheme="majorEastAsia"/>
          <w:color w:val="000000" w:themeColor="text1"/>
          <w:lang w:eastAsia="en-US"/>
        </w:rPr>
        <w:t>, w okresie ostatnich 5 lat przed upływem terminu składania ofert, a jeżeli okres prowadzenia działalności jest krótszy - w tym okresie z podaniem rodzaju, wartości, daty, miejsca wykonania i podmiotów, na rzecz których roboty budowlane zostały wykonane</w:t>
      </w:r>
      <w:r w:rsidRPr="003F7A55">
        <w:rPr>
          <w:rFonts w:eastAsiaTheme="majorEastAsia"/>
          <w:b/>
          <w:color w:val="000000" w:themeColor="text1"/>
          <w:lang w:eastAsia="en-US"/>
        </w:rPr>
        <w:t>.</w:t>
      </w:r>
    </w:p>
    <w:p w14:paraId="204E4209" w14:textId="77777777" w:rsidR="00BC2478" w:rsidRPr="003F7A55" w:rsidRDefault="00BC2478" w:rsidP="00BC2478">
      <w:pPr>
        <w:ind w:left="218"/>
        <w:jc w:val="both"/>
        <w:rPr>
          <w:rFonts w:eastAsiaTheme="majorEastAsia"/>
          <w:b/>
          <w:color w:val="000000" w:themeColor="text1"/>
          <w:lang w:eastAsia="en-US"/>
        </w:rPr>
      </w:pPr>
    </w:p>
    <w:p w14:paraId="75482636" w14:textId="6EC0CB0C" w:rsidR="00BC2478" w:rsidRDefault="00BC2478" w:rsidP="00BC2478">
      <w:pPr>
        <w:jc w:val="both"/>
        <w:rPr>
          <w:rFonts w:eastAsiaTheme="majorEastAsia"/>
          <w:color w:val="000000" w:themeColor="text1"/>
          <w:lang w:eastAsia="en-US"/>
        </w:rPr>
      </w:pPr>
      <w:r w:rsidRPr="00FA0BCF">
        <w:rPr>
          <w:rFonts w:eastAsiaTheme="majorEastAsia"/>
          <w:color w:val="000000" w:themeColor="text1"/>
          <w:lang w:eastAsia="en-US"/>
        </w:rPr>
        <w:t>Wykonawca nie może sumować wartości kilku robót budowlanych o mniejszym zakresie dla uzyskania wymaganych wartości porównywalnych.</w:t>
      </w:r>
    </w:p>
    <w:p w14:paraId="753A8C4F" w14:textId="6225A3C4" w:rsidR="006E1B08" w:rsidRDefault="006E1B08" w:rsidP="00BC2478">
      <w:pPr>
        <w:jc w:val="both"/>
        <w:rPr>
          <w:rFonts w:eastAsiaTheme="majorEastAsia"/>
          <w:color w:val="000000" w:themeColor="text1"/>
          <w:lang w:eastAsia="en-US"/>
        </w:rPr>
      </w:pPr>
    </w:p>
    <w:p w14:paraId="344EE134" w14:textId="12E6D483" w:rsidR="006E1B08" w:rsidRPr="00A05C40" w:rsidRDefault="006E1B08" w:rsidP="00E10B4D">
      <w:pPr>
        <w:autoSpaceDE w:val="0"/>
        <w:autoSpaceDN w:val="0"/>
        <w:adjustRightInd w:val="0"/>
        <w:spacing w:line="276" w:lineRule="auto"/>
        <w:jc w:val="both"/>
        <w:rPr>
          <w:rFonts w:eastAsia="CIDFont+F2"/>
        </w:rPr>
      </w:pPr>
      <w:r w:rsidRPr="00A05C40">
        <w:t xml:space="preserve">Ilekroć w </w:t>
      </w:r>
      <w:r>
        <w:t>SWZ</w:t>
      </w:r>
      <w:r w:rsidRPr="00A05C40">
        <w:t xml:space="preserve"> jest mowa o „b</w:t>
      </w:r>
      <w:r w:rsidRPr="00A05C40">
        <w:rPr>
          <w:rFonts w:eastAsia="CIDFont+F2"/>
        </w:rPr>
        <w:t>udowie, przebudowie lub rozbudowie” należy przez to rozumieć odpowiednio budowę, przebudowę lub rozbudowę w rozumieniu ustawy Prawo budowlane.</w:t>
      </w:r>
    </w:p>
    <w:p w14:paraId="6BEEE8BD" w14:textId="77777777" w:rsidR="00BC2478" w:rsidRPr="00FA0BCF" w:rsidRDefault="00BC2478" w:rsidP="00BC2478">
      <w:pPr>
        <w:ind w:left="-142"/>
        <w:jc w:val="both"/>
        <w:rPr>
          <w:rFonts w:eastAsiaTheme="majorEastAsia"/>
          <w:color w:val="000000" w:themeColor="text1"/>
          <w:lang w:eastAsia="en-US"/>
        </w:rPr>
      </w:pPr>
    </w:p>
    <w:p w14:paraId="47639611" w14:textId="77777777" w:rsidR="00BC2478" w:rsidRPr="003F7A55" w:rsidRDefault="00BC2478" w:rsidP="00BC2478">
      <w:pPr>
        <w:widowControl w:val="0"/>
        <w:tabs>
          <w:tab w:val="left" w:pos="640"/>
        </w:tabs>
        <w:autoSpaceDE w:val="0"/>
        <w:autoSpaceDN w:val="0"/>
        <w:spacing w:before="5"/>
        <w:ind w:right="240"/>
        <w:jc w:val="both"/>
      </w:pPr>
      <w:r w:rsidRPr="003F7A55">
        <w:t xml:space="preserve">2. O udzielenie zamówienia mogą ubiegać się wykonawcy, którzy wykażą minimalne poziomy zdolności </w:t>
      </w:r>
      <w:r w:rsidRPr="003F7A55">
        <w:rPr>
          <w:u w:val="single"/>
        </w:rPr>
        <w:t>w zakresie dysponowania następującymi osobami zdolnymi do wykonania</w:t>
      </w:r>
      <w:r w:rsidRPr="003F7A55">
        <w:rPr>
          <w:spacing w:val="-1"/>
          <w:u w:val="single"/>
        </w:rPr>
        <w:t xml:space="preserve"> </w:t>
      </w:r>
      <w:r w:rsidRPr="003F7A55">
        <w:rPr>
          <w:u w:val="single"/>
        </w:rPr>
        <w:t>zamówienia</w:t>
      </w:r>
      <w:r w:rsidRPr="003F7A55">
        <w:t>:</w:t>
      </w:r>
    </w:p>
    <w:p w14:paraId="5280EA4F" w14:textId="77777777" w:rsidR="00BC2478" w:rsidRPr="00FA0BCF" w:rsidRDefault="00BC2478" w:rsidP="00BC2478">
      <w:pPr>
        <w:pStyle w:val="Tekstpodstawowy"/>
        <w:spacing w:before="11"/>
      </w:pPr>
    </w:p>
    <w:p w14:paraId="36A9B443" w14:textId="77777777" w:rsidR="00BC2478" w:rsidRPr="003F7A55" w:rsidRDefault="00BC2478">
      <w:pPr>
        <w:pStyle w:val="Akapitzlist"/>
        <w:widowControl w:val="0"/>
        <w:numPr>
          <w:ilvl w:val="1"/>
          <w:numId w:val="39"/>
        </w:numPr>
        <w:tabs>
          <w:tab w:val="left" w:pos="709"/>
        </w:tabs>
        <w:autoSpaceDE w:val="0"/>
        <w:autoSpaceDN w:val="0"/>
        <w:spacing w:before="93" w:line="252" w:lineRule="exact"/>
        <w:ind w:left="426" w:hanging="426"/>
        <w:jc w:val="both"/>
      </w:pPr>
      <w:r w:rsidRPr="003F7A55">
        <w:rPr>
          <w:u w:val="single"/>
        </w:rPr>
        <w:t>Kierownik budowy (co najmniej 1)</w:t>
      </w:r>
      <w:r w:rsidRPr="003F7A55">
        <w:t xml:space="preserve"> – minimalne</w:t>
      </w:r>
      <w:r w:rsidRPr="003F7A55">
        <w:rPr>
          <w:spacing w:val="2"/>
        </w:rPr>
        <w:t xml:space="preserve"> </w:t>
      </w:r>
      <w:r w:rsidRPr="003F7A55">
        <w:t>wymagania:</w:t>
      </w:r>
    </w:p>
    <w:p w14:paraId="277546D5" w14:textId="1EB0CFAC" w:rsidR="00BC2478" w:rsidRPr="003F7A55" w:rsidRDefault="00BC2478">
      <w:pPr>
        <w:pStyle w:val="Akapitzlist"/>
        <w:widowControl w:val="0"/>
        <w:numPr>
          <w:ilvl w:val="2"/>
          <w:numId w:val="39"/>
        </w:numPr>
        <w:tabs>
          <w:tab w:val="left" w:pos="999"/>
        </w:tabs>
        <w:autoSpaceDE w:val="0"/>
        <w:autoSpaceDN w:val="0"/>
        <w:ind w:left="426" w:right="232" w:hanging="284"/>
        <w:jc w:val="both"/>
      </w:pPr>
      <w:r w:rsidRPr="003F7A55">
        <w:t xml:space="preserve">kwalifikacje zawodowe: uprawnienia budowlane do kierowania robotami budowlanymi odpowiadające przedmiotowi zamówienia w specjalności </w:t>
      </w:r>
      <w:r w:rsidR="003F7A55" w:rsidRPr="003F7A55">
        <w:t>drogowej</w:t>
      </w:r>
      <w:r w:rsidRPr="003F7A55">
        <w:t xml:space="preserve"> bez ograniczeń w rozumieniu ustawy z dnia 7 lipca 1994 r. Prawo budowlane (Dz.U. z 202</w:t>
      </w:r>
      <w:r w:rsidR="003A25BB">
        <w:t>1</w:t>
      </w:r>
      <w:r w:rsidRPr="003F7A55">
        <w:t xml:space="preserve"> r. poz. </w:t>
      </w:r>
      <w:r w:rsidR="003A25BB">
        <w:t>2351</w:t>
      </w:r>
      <w:r w:rsidR="003A25BB" w:rsidRPr="003F7A55">
        <w:t xml:space="preserve"> </w:t>
      </w:r>
      <w:r w:rsidRPr="003F7A55">
        <w:t>ze zm.) lub odpowiadające im uprawnienia budowlane, które zostały wydane na podstawie wcześniej obowiązujących przepisów,</w:t>
      </w:r>
    </w:p>
    <w:p w14:paraId="592B20B6" w14:textId="77777777" w:rsidR="00BC2478" w:rsidRPr="00FA0BCF" w:rsidRDefault="00BC2478" w:rsidP="00BC2478">
      <w:pPr>
        <w:pStyle w:val="Tekstpodstawowy"/>
        <w:spacing w:before="10"/>
      </w:pPr>
    </w:p>
    <w:p w14:paraId="6692BCF5" w14:textId="45E5F011" w:rsidR="00BC2478" w:rsidRPr="003F7A55" w:rsidRDefault="00BC2478" w:rsidP="00BC2478">
      <w:pPr>
        <w:pStyle w:val="Tekstpodstawowy"/>
        <w:ind w:right="233"/>
        <w:jc w:val="both"/>
      </w:pPr>
      <w:r w:rsidRPr="003F7A55">
        <w:t>Zgodnie z art. 12a ustawy z dnia 7 lipca 1994 r. Prawo budowlane (Dz.U. z 20</w:t>
      </w:r>
      <w:r w:rsidR="006E1B08">
        <w:t>21</w:t>
      </w:r>
      <w:r w:rsidRPr="003F7A55">
        <w:t xml:space="preserve">r.poz. </w:t>
      </w:r>
      <w:r w:rsidR="006E1B08">
        <w:t>2351</w:t>
      </w:r>
      <w:r w:rsidRPr="003F7A55">
        <w:t>, ze zm.), samodzielne funkcje techniczne w budownictwie mogą również wykonywać osoby, których odpowiednie kwalifikacje zawodowe zostały uznane na zasadach  określonych   w przepisach   odrębnych,  tj.   ustawie   z  dnia 18 marca 2008</w:t>
      </w:r>
      <w:r w:rsidRPr="003F7A55">
        <w:rPr>
          <w:spacing w:val="39"/>
        </w:rPr>
        <w:t> </w:t>
      </w:r>
      <w:r w:rsidRPr="003F7A55">
        <w:t>r. o zasadach uznawania kwalifikacji zawodowych nabytych w państwach członkowskich Unii</w:t>
      </w:r>
      <w:r w:rsidRPr="003F7A55">
        <w:rPr>
          <w:spacing w:val="22"/>
        </w:rPr>
        <w:t xml:space="preserve"> </w:t>
      </w:r>
      <w:r w:rsidRPr="003F7A55">
        <w:t>Europejskiej</w:t>
      </w:r>
      <w:r w:rsidRPr="003F7A55">
        <w:rPr>
          <w:spacing w:val="23"/>
        </w:rPr>
        <w:t xml:space="preserve"> </w:t>
      </w:r>
      <w:r w:rsidRPr="003F7A55">
        <w:t>(Dz.</w:t>
      </w:r>
      <w:r w:rsidRPr="003F7A55">
        <w:rPr>
          <w:spacing w:val="25"/>
        </w:rPr>
        <w:t xml:space="preserve"> </w:t>
      </w:r>
      <w:r w:rsidRPr="003F7A55">
        <w:t>U.</w:t>
      </w:r>
      <w:r w:rsidRPr="003F7A55">
        <w:rPr>
          <w:spacing w:val="25"/>
        </w:rPr>
        <w:t xml:space="preserve"> </w:t>
      </w:r>
      <w:r w:rsidRPr="003F7A55">
        <w:t>z</w:t>
      </w:r>
      <w:r w:rsidRPr="003F7A55">
        <w:rPr>
          <w:spacing w:val="22"/>
        </w:rPr>
        <w:t xml:space="preserve"> </w:t>
      </w:r>
      <w:r w:rsidRPr="003F7A55">
        <w:t>2018</w:t>
      </w:r>
      <w:r w:rsidRPr="003F7A55">
        <w:rPr>
          <w:spacing w:val="24"/>
        </w:rPr>
        <w:t xml:space="preserve"> </w:t>
      </w:r>
      <w:r w:rsidRPr="003F7A55">
        <w:t>r.</w:t>
      </w:r>
      <w:r w:rsidRPr="003F7A55">
        <w:rPr>
          <w:spacing w:val="25"/>
        </w:rPr>
        <w:t xml:space="preserve"> </w:t>
      </w:r>
      <w:r w:rsidRPr="003F7A55">
        <w:t>poz.</w:t>
      </w:r>
      <w:r w:rsidRPr="003F7A55">
        <w:rPr>
          <w:spacing w:val="25"/>
        </w:rPr>
        <w:t xml:space="preserve"> </w:t>
      </w:r>
      <w:r w:rsidRPr="003F7A55">
        <w:t>2272</w:t>
      </w:r>
      <w:r w:rsidRPr="003F7A55">
        <w:rPr>
          <w:spacing w:val="28"/>
        </w:rPr>
        <w:t xml:space="preserve"> </w:t>
      </w:r>
      <w:r w:rsidRPr="003F7A55">
        <w:t>ze</w:t>
      </w:r>
      <w:r w:rsidRPr="003F7A55">
        <w:rPr>
          <w:spacing w:val="26"/>
        </w:rPr>
        <w:t xml:space="preserve"> </w:t>
      </w:r>
      <w:r w:rsidRPr="003F7A55">
        <w:t>zm.)</w:t>
      </w:r>
      <w:r w:rsidRPr="003F7A55">
        <w:rPr>
          <w:spacing w:val="25"/>
        </w:rPr>
        <w:t xml:space="preserve"> </w:t>
      </w:r>
      <w:r w:rsidRPr="003F7A55">
        <w:t>oraz</w:t>
      </w:r>
      <w:r w:rsidRPr="003F7A55">
        <w:rPr>
          <w:spacing w:val="23"/>
        </w:rPr>
        <w:t xml:space="preserve"> </w:t>
      </w:r>
      <w:r w:rsidRPr="003F7A55">
        <w:t>ustawie</w:t>
      </w:r>
      <w:r w:rsidRPr="003F7A55">
        <w:rPr>
          <w:spacing w:val="27"/>
        </w:rPr>
        <w:t xml:space="preserve"> </w:t>
      </w:r>
      <w:r w:rsidRPr="003F7A55">
        <w:t>z</w:t>
      </w:r>
      <w:r w:rsidRPr="003F7A55">
        <w:rPr>
          <w:spacing w:val="22"/>
        </w:rPr>
        <w:t> </w:t>
      </w:r>
      <w:r w:rsidRPr="003F7A55">
        <w:t>dnia</w:t>
      </w:r>
      <w:r w:rsidRPr="003F7A55">
        <w:rPr>
          <w:spacing w:val="24"/>
        </w:rPr>
        <w:t xml:space="preserve"> </w:t>
      </w:r>
      <w:r w:rsidRPr="003F7A55">
        <w:t>15 grudnia</w:t>
      </w:r>
      <w:r w:rsidRPr="003F7A55" w:rsidDel="008A062C">
        <w:t xml:space="preserve"> </w:t>
      </w:r>
      <w:r w:rsidRPr="003F7A55">
        <w:t>2000</w:t>
      </w:r>
      <w:r w:rsidRPr="003F7A55">
        <w:rPr>
          <w:spacing w:val="24"/>
        </w:rPr>
        <w:t> </w:t>
      </w:r>
      <w:r w:rsidRPr="003F7A55">
        <w:t>r. o samorządach zawodowych architektów, inżynierów budownictwa oraz urbanistów (Dz. U z 2019 r. poz. 1172).</w:t>
      </w:r>
    </w:p>
    <w:p w14:paraId="5E0F60DB" w14:textId="77777777" w:rsidR="00DB65A7" w:rsidRPr="00A209C9" w:rsidRDefault="00DB65A7" w:rsidP="00FA0BCF">
      <w:pPr>
        <w:ind w:left="218"/>
        <w:jc w:val="both"/>
        <w:rPr>
          <w:rFonts w:eastAsiaTheme="majorEastAsia"/>
          <w:lang w:eastAsia="en-US"/>
        </w:rPr>
      </w:pPr>
    </w:p>
    <w:p w14:paraId="031F079F" w14:textId="3F5CC777" w:rsidR="00AA4F20"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2C54305" w14:textId="77777777" w:rsidR="00BB73E8" w:rsidRDefault="00BB73E8" w:rsidP="002E378E">
      <w:pPr>
        <w:autoSpaceDE w:val="0"/>
        <w:autoSpaceDN w:val="0"/>
        <w:spacing w:before="120" w:after="120"/>
        <w:jc w:val="both"/>
        <w:rPr>
          <w:color w:val="000000" w:themeColor="text1"/>
        </w:rPr>
      </w:pPr>
    </w:p>
    <w:p w14:paraId="36540063"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Zamawiający </w:t>
      </w:r>
      <w:r w:rsidRPr="00BB73E8">
        <w:rPr>
          <w:b/>
          <w:color w:val="000000"/>
          <w:kern w:val="3"/>
          <w:lang w:eastAsia="pl-PL"/>
        </w:rPr>
        <w:t>wykluczy</w:t>
      </w:r>
      <w:r w:rsidRPr="00BB73E8">
        <w:rPr>
          <w:color w:val="000000"/>
          <w:kern w:val="3"/>
          <w:lang w:eastAsia="pl-PL"/>
        </w:rPr>
        <w:t xml:space="preserve"> z postępowania wykonawców, wobec których zachodzą podstawy </w:t>
      </w:r>
      <w:r w:rsidRPr="00BB73E8">
        <w:rPr>
          <w:color w:val="000000"/>
          <w:kern w:val="3"/>
          <w:lang w:eastAsia="pl-PL"/>
        </w:rPr>
        <w:lastRenderedPageBreak/>
        <w:t>wykluczenia, o których mowa w art. 108 ust. 1  ustawy Pzp.:</w:t>
      </w:r>
    </w:p>
    <w:p w14:paraId="4F9FA77C" w14:textId="77777777" w:rsidR="00BB73E8" w:rsidRPr="00BB73E8" w:rsidRDefault="00BB73E8">
      <w:pPr>
        <w:widowControl w:val="0"/>
        <w:numPr>
          <w:ilvl w:val="0"/>
          <w:numId w:val="61"/>
        </w:numPr>
        <w:suppressAutoHyphens/>
        <w:autoSpaceDN w:val="0"/>
        <w:jc w:val="both"/>
        <w:textAlignment w:val="baseline"/>
        <w:rPr>
          <w:kern w:val="3"/>
          <w:lang w:eastAsia="pl-PL"/>
        </w:rPr>
      </w:pPr>
      <w:r w:rsidRPr="00BB73E8">
        <w:rPr>
          <w:kern w:val="3"/>
          <w:lang w:eastAsia="pl-PL"/>
        </w:rPr>
        <w:t>będącego osobą fizyczną, którego prawomocnie skazano za przestępstwo:</w:t>
      </w:r>
    </w:p>
    <w:p w14:paraId="3AE931DD"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a) udziału w zorganizowanej grupie przestępczej albo związku mającym na celu popełnienie przestępstwa lub przestępstwa skarbowego, o którym mowa w art. 258 Kodeksu karnego,</w:t>
      </w:r>
    </w:p>
    <w:p w14:paraId="1F2AC1C1"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b) handlu ludźmi, o którym mowa w art. 189a Kodeksu karnego,</w:t>
      </w:r>
    </w:p>
    <w:p w14:paraId="4657D41E"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155E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d) finansowania przestępstwa o charakterze terrorystycznym, o którym mowa w art. 165a Kodeksu karnego, lub przestępstwo udaremniania ukrywania ich pochodzenia, o którym mowa w art. 299 Kodeksu karnego,</w:t>
      </w:r>
    </w:p>
    <w:p w14:paraId="40F9FC1A"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e) o charakterze terrorystycznym, o którym mowa w art. 115 § 20 Kodeksu karnego, lub mające na celu popełnienie tego przestępstwa,</w:t>
      </w:r>
    </w:p>
    <w:p w14:paraId="5149423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27E30D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24816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h) o którym mowa w art. 9 ust. 1 i 3 lub art. 10 ustawy z dnia 15 czerwca 2012 r. o skutkach powierzania wykonywania pracy cudzoziemcom przebywającym wbrew przepisom na terytorium Rzeczypospolitej Polskiej</w:t>
      </w:r>
    </w:p>
    <w:p w14:paraId="1985D37F"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 lub za odpowiedni czyn zabroniony określony w przepisach prawa obcego;</w:t>
      </w:r>
    </w:p>
    <w:p w14:paraId="3E0F6FA7" w14:textId="77777777" w:rsidR="00BB73E8" w:rsidRPr="00BB73E8" w:rsidRDefault="00BB73E8" w:rsidP="00BB73E8">
      <w:pPr>
        <w:suppressAutoHyphens/>
        <w:autoSpaceDN w:val="0"/>
        <w:ind w:left="851"/>
        <w:jc w:val="both"/>
        <w:textAlignment w:val="baseline"/>
        <w:rPr>
          <w:kern w:val="3"/>
          <w:lang w:eastAsia="pl-PL"/>
        </w:rPr>
      </w:pPr>
    </w:p>
    <w:p w14:paraId="713B1C34" w14:textId="77777777" w:rsidR="00BB73E8" w:rsidRPr="00BB73E8" w:rsidRDefault="00BB73E8">
      <w:pPr>
        <w:widowControl w:val="0"/>
        <w:numPr>
          <w:ilvl w:val="0"/>
          <w:numId w:val="61"/>
        </w:numPr>
        <w:suppressAutoHyphens/>
        <w:autoSpaceDN w:val="0"/>
        <w:ind w:left="284"/>
        <w:jc w:val="both"/>
        <w:textAlignment w:val="baseline"/>
        <w:rPr>
          <w:kern w:val="3"/>
          <w:lang w:eastAsia="pl-PL"/>
        </w:rPr>
      </w:pPr>
      <w:r w:rsidRPr="00BB73E8">
        <w:rPr>
          <w:kern w:val="3"/>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B5DC1F" w14:textId="77777777" w:rsidR="00BB73E8" w:rsidRPr="00BB73E8" w:rsidRDefault="00BB73E8" w:rsidP="00BB73E8">
      <w:pPr>
        <w:suppressAutoHyphens/>
        <w:autoSpaceDN w:val="0"/>
        <w:ind w:left="284"/>
        <w:jc w:val="both"/>
        <w:textAlignment w:val="baseline"/>
        <w:rPr>
          <w:kern w:val="3"/>
          <w:lang w:eastAsia="pl-PL"/>
        </w:rPr>
      </w:pPr>
    </w:p>
    <w:p w14:paraId="72CA5405"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BB73E8">
        <w:rPr>
          <w:kern w:val="3"/>
          <w:lang w:eastAsia="pl-PL"/>
        </w:rPr>
        <w:br/>
        <w:t xml:space="preserve">porozumienie w sprawie spłaty tych należności; </w:t>
      </w:r>
    </w:p>
    <w:p w14:paraId="57063DF3"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lastRenderedPageBreak/>
        <w:br/>
        <w:t xml:space="preserve">4) wobec którego prawomocnie orzeczono zakaz ubiegania się o zamówienia publiczne; </w:t>
      </w:r>
    </w:p>
    <w:p w14:paraId="2583701E" w14:textId="77777777" w:rsidR="00BB73E8" w:rsidRPr="00BB73E8" w:rsidRDefault="00BB73E8" w:rsidP="00BB73E8">
      <w:pPr>
        <w:suppressAutoHyphens/>
        <w:autoSpaceDN w:val="0"/>
        <w:ind w:left="284"/>
        <w:jc w:val="both"/>
        <w:textAlignment w:val="baseline"/>
        <w:rPr>
          <w:kern w:val="3"/>
          <w:lang w:eastAsia="pl-PL"/>
        </w:rPr>
      </w:pPr>
    </w:p>
    <w:p w14:paraId="3E70E466" w14:textId="77777777" w:rsidR="00BB73E8" w:rsidRPr="00BB73E8" w:rsidRDefault="00BB73E8">
      <w:pPr>
        <w:widowControl w:val="0"/>
        <w:numPr>
          <w:ilvl w:val="0"/>
          <w:numId w:val="59"/>
        </w:numPr>
        <w:suppressAutoHyphens/>
        <w:autoSpaceDN w:val="0"/>
        <w:ind w:left="284"/>
        <w:jc w:val="both"/>
        <w:textAlignment w:val="baseline"/>
        <w:rPr>
          <w:kern w:val="3"/>
          <w:lang w:eastAsia="pl-PL"/>
        </w:rPr>
      </w:pPr>
      <w:r w:rsidRPr="00BB73E8">
        <w:rPr>
          <w:kern w:val="3"/>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F6EB0F"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BB73E8">
        <w:rPr>
          <w:kern w:val="3"/>
          <w:lang w:eastAsia="pl-PL"/>
        </w:rPr>
        <w:br/>
        <w:t>z udziału w postępowaniu o udzielenie zamówienia.</w:t>
      </w:r>
    </w:p>
    <w:p w14:paraId="1AA4554D" w14:textId="77777777" w:rsidR="00BB73E8" w:rsidRPr="00BB73E8" w:rsidRDefault="00BB73E8" w:rsidP="00BB73E8">
      <w:pPr>
        <w:suppressAutoHyphens/>
        <w:autoSpaceDN w:val="0"/>
        <w:spacing w:before="120" w:after="120"/>
        <w:jc w:val="both"/>
        <w:textAlignment w:val="baseline"/>
        <w:rPr>
          <w:rFonts w:eastAsia="A"/>
          <w:kern w:val="3"/>
          <w:lang w:eastAsia="pl-PL"/>
        </w:rPr>
      </w:pPr>
      <w:r w:rsidRPr="00BB73E8">
        <w:rPr>
          <w:rFonts w:eastAsia="A"/>
          <w:kern w:val="3"/>
          <w:lang w:eastAsia="pl-PL"/>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2D691CF4"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Dodatkowo z postępowania o udzielenie zamówienia wyklucza się Wykonawców  stosunku do których zachodzą okoliczności, o których mowa w: </w:t>
      </w:r>
    </w:p>
    <w:p w14:paraId="34887609" w14:textId="77777777" w:rsidR="00BB73E8" w:rsidRPr="00BB73E8" w:rsidRDefault="00BB73E8">
      <w:pPr>
        <w:widowControl w:val="0"/>
        <w:numPr>
          <w:ilvl w:val="0"/>
          <w:numId w:val="54"/>
        </w:numPr>
        <w:suppressAutoHyphens/>
        <w:autoSpaceDN w:val="0"/>
        <w:ind w:left="709"/>
        <w:jc w:val="both"/>
        <w:textAlignment w:val="baseline"/>
        <w:rPr>
          <w:kern w:val="3"/>
          <w:lang w:eastAsia="pl-PL"/>
        </w:rPr>
      </w:pPr>
      <w:r w:rsidRPr="00BB73E8">
        <w:rPr>
          <w:color w:val="000000"/>
          <w:kern w:val="3"/>
          <w:lang w:eastAsia="pl-PL"/>
        </w:rPr>
        <w:t>art. 109 ust 1 pkt 5, pkt 7, pkt 8, oraz pkt 10 ustawy Pzp tj.:</w:t>
      </w:r>
    </w:p>
    <w:p w14:paraId="7225165A" w14:textId="77777777" w:rsidR="00BB73E8" w:rsidRPr="00BB73E8" w:rsidRDefault="00BB73E8">
      <w:pPr>
        <w:widowControl w:val="0"/>
        <w:numPr>
          <w:ilvl w:val="0"/>
          <w:numId w:val="55"/>
        </w:numPr>
        <w:suppressAutoHyphens/>
        <w:autoSpaceDN w:val="0"/>
        <w:jc w:val="both"/>
        <w:textAlignment w:val="baseline"/>
        <w:rPr>
          <w:kern w:val="3"/>
          <w:lang w:eastAsia="pl-PL"/>
        </w:rPr>
      </w:pPr>
      <w:r w:rsidRPr="00BB73E8">
        <w:rPr>
          <w:color w:val="000000"/>
          <w:kern w:val="3"/>
          <w:lang w:eastAsia="pl-PL"/>
        </w:rPr>
        <w:t>gdy Wykonawca w wyniku zamierzonego działania lub rażącego niedbalstwa nie wykonał lub nienależycie wykonał zamówienie, co Zamawiający jest w stanie wykazać za pomocą stosownych dowodów;</w:t>
      </w:r>
    </w:p>
    <w:p w14:paraId="13D767CB" w14:textId="77777777" w:rsidR="00BB73E8" w:rsidRPr="00BB73E8" w:rsidRDefault="00BB73E8" w:rsidP="00BB73E8">
      <w:pPr>
        <w:suppressAutoHyphens/>
        <w:autoSpaceDN w:val="0"/>
        <w:ind w:left="1080"/>
        <w:jc w:val="both"/>
        <w:textAlignment w:val="baseline"/>
        <w:rPr>
          <w:kern w:val="3"/>
          <w:lang w:eastAsia="pl-PL"/>
        </w:rPr>
      </w:pPr>
    </w:p>
    <w:p w14:paraId="49B59C34"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365F57" w14:textId="77777777" w:rsidR="00BB73E8" w:rsidRPr="00BB73E8" w:rsidRDefault="00BB73E8" w:rsidP="00BB73E8">
      <w:pPr>
        <w:suppressAutoHyphens/>
        <w:autoSpaceDN w:val="0"/>
        <w:ind w:left="1080"/>
        <w:jc w:val="both"/>
        <w:textAlignment w:val="baseline"/>
        <w:rPr>
          <w:kern w:val="3"/>
          <w:lang w:eastAsia="pl-PL"/>
        </w:rPr>
      </w:pPr>
    </w:p>
    <w:p w14:paraId="5BF46E63"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3BA761" w14:textId="77777777" w:rsidR="00BB73E8" w:rsidRPr="00BB73E8" w:rsidRDefault="00BB73E8" w:rsidP="00BB73E8">
      <w:pPr>
        <w:suppressAutoHyphens/>
        <w:autoSpaceDN w:val="0"/>
        <w:ind w:left="708"/>
        <w:textAlignment w:val="baseline"/>
        <w:rPr>
          <w:kern w:val="3"/>
          <w:lang w:eastAsia="pl-PL"/>
        </w:rPr>
      </w:pPr>
    </w:p>
    <w:p w14:paraId="4A90FECB" w14:textId="77777777" w:rsidR="00BB73E8" w:rsidRPr="00BB73E8" w:rsidRDefault="00BB73E8" w:rsidP="00BB73E8">
      <w:pPr>
        <w:suppressAutoHyphens/>
        <w:autoSpaceDN w:val="0"/>
        <w:ind w:left="1080"/>
        <w:jc w:val="both"/>
        <w:textAlignment w:val="baseline"/>
        <w:rPr>
          <w:kern w:val="3"/>
          <w:lang w:eastAsia="pl-PL"/>
        </w:rPr>
      </w:pPr>
    </w:p>
    <w:p w14:paraId="378B8152" w14:textId="77777777" w:rsidR="00BB73E8" w:rsidRPr="00BB73E8" w:rsidRDefault="00BB73E8">
      <w:pPr>
        <w:widowControl w:val="0"/>
        <w:numPr>
          <w:ilvl w:val="0"/>
          <w:numId w:val="53"/>
        </w:numPr>
        <w:suppressAutoHyphens/>
        <w:autoSpaceDN w:val="0"/>
        <w:jc w:val="both"/>
        <w:textAlignment w:val="baseline"/>
        <w:rPr>
          <w:color w:val="000000"/>
          <w:kern w:val="3"/>
          <w:lang w:eastAsia="pl-PL"/>
        </w:rPr>
      </w:pPr>
      <w:r w:rsidRPr="00BB73E8">
        <w:rPr>
          <w:color w:val="000000"/>
          <w:kern w:val="3"/>
          <w:lang w:eastAsia="pl-PL"/>
        </w:rPr>
        <w:t>który w wyniku lekkomyślności lub niedbalstwa przedstawił informacje wprowadzające w błąd, co mogło mieć istotny wpływ na decyzje podejmowane przez zamawiającego w postępowaniu o udzielenie zamówienia.</w:t>
      </w:r>
    </w:p>
    <w:p w14:paraId="7DECFCE1" w14:textId="77777777" w:rsidR="00BB73E8" w:rsidRPr="00BB73E8" w:rsidRDefault="00BB73E8" w:rsidP="00BB73E8">
      <w:pPr>
        <w:widowControl w:val="0"/>
        <w:suppressAutoHyphens/>
        <w:autoSpaceDN w:val="0"/>
        <w:ind w:left="720"/>
        <w:jc w:val="both"/>
        <w:textAlignment w:val="baseline"/>
        <w:rPr>
          <w:color w:val="000000"/>
          <w:kern w:val="3"/>
          <w:lang w:eastAsia="pl-PL"/>
        </w:rPr>
      </w:pPr>
    </w:p>
    <w:p w14:paraId="07AE38A1" w14:textId="77777777" w:rsidR="00BB73E8" w:rsidRPr="00BB73E8" w:rsidRDefault="00BB73E8">
      <w:pPr>
        <w:widowControl w:val="0"/>
        <w:numPr>
          <w:ilvl w:val="0"/>
          <w:numId w:val="56"/>
        </w:numPr>
        <w:suppressAutoHyphens/>
        <w:autoSpaceDN w:val="0"/>
        <w:ind w:left="567"/>
        <w:jc w:val="both"/>
        <w:textAlignment w:val="baseline"/>
        <w:rPr>
          <w:color w:val="000000"/>
          <w:kern w:val="3"/>
          <w:lang w:eastAsia="pl-PL"/>
        </w:rPr>
      </w:pPr>
      <w:r w:rsidRPr="00BB73E8">
        <w:rPr>
          <w:color w:val="000000"/>
          <w:kern w:val="3"/>
          <w:lang w:eastAsia="pl-PL"/>
        </w:rPr>
        <w:t>Podstawy wykluczenia z art. 7 ust 1 ustawy z dnia 13 kwietnia 2022 r. o szczególnych rozwiązaniach w zakresie przeciwdziałania wspieraniu agresji na ukrainne oraz służących ochronie bezpieczeństwa narodowego.</w:t>
      </w:r>
    </w:p>
    <w:p w14:paraId="41BF39C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 xml:space="preserve">O udzielenie zamówienia może się ubiegać wykonawca, który nie podlega </w:t>
      </w:r>
      <w:r w:rsidRPr="00BB73E8">
        <w:rPr>
          <w:rFonts w:eastAsia="Calibri"/>
          <w:bCs/>
          <w:lang w:eastAsia="en-US"/>
        </w:rPr>
        <w:lastRenderedPageBreak/>
        <w:t>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60175C9B" w14:textId="77777777" w:rsidR="00BB73E8" w:rsidRPr="00BB73E8" w:rsidRDefault="00BB73E8" w:rsidP="00BB73E8">
      <w:pPr>
        <w:autoSpaceDE w:val="0"/>
        <w:autoSpaceDN w:val="0"/>
        <w:jc w:val="both"/>
        <w:rPr>
          <w:rFonts w:eastAsia="Calibri"/>
          <w:bCs/>
          <w:lang w:eastAsia="en-US"/>
        </w:rPr>
      </w:pPr>
    </w:p>
    <w:p w14:paraId="7B4888B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28B0B4BC" w14:textId="77777777" w:rsidR="00BB73E8" w:rsidRPr="00BB73E8" w:rsidRDefault="00BB73E8" w:rsidP="00BB73E8">
      <w:pPr>
        <w:autoSpaceDE w:val="0"/>
        <w:autoSpaceDN w:val="0"/>
        <w:jc w:val="both"/>
        <w:rPr>
          <w:rFonts w:eastAsia="Calibri"/>
          <w:bCs/>
          <w:lang w:eastAsia="en-US"/>
        </w:rPr>
      </w:pPr>
    </w:p>
    <w:p w14:paraId="1E12603F"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2032375" w14:textId="77777777" w:rsidR="00BB73E8" w:rsidRPr="00BB73E8" w:rsidRDefault="00BB73E8" w:rsidP="00BB73E8">
      <w:pPr>
        <w:suppressAutoHyphens/>
        <w:autoSpaceDN w:val="0"/>
        <w:ind w:left="708"/>
        <w:textAlignment w:val="baseline"/>
        <w:rPr>
          <w:rFonts w:eastAsia="Calibri"/>
          <w:bCs/>
          <w:lang w:eastAsia="en-US"/>
        </w:rPr>
      </w:pPr>
    </w:p>
    <w:p w14:paraId="0D741FCA" w14:textId="77777777" w:rsidR="00BB73E8" w:rsidRPr="00BB73E8" w:rsidRDefault="00BB73E8" w:rsidP="00BB73E8">
      <w:pPr>
        <w:autoSpaceDE w:val="0"/>
        <w:autoSpaceDN w:val="0"/>
        <w:jc w:val="both"/>
        <w:rPr>
          <w:rFonts w:eastAsia="Calibri"/>
          <w:bCs/>
          <w:lang w:eastAsia="en-US"/>
        </w:rPr>
      </w:pPr>
    </w:p>
    <w:p w14:paraId="3AF44B85"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4901FD90" w14:textId="77777777" w:rsidR="00BB73E8" w:rsidRPr="00BB73E8" w:rsidRDefault="00BB73E8" w:rsidP="00BB73E8">
      <w:pPr>
        <w:autoSpaceDE w:val="0"/>
        <w:autoSpaceDN w:val="0"/>
        <w:jc w:val="both"/>
        <w:rPr>
          <w:color w:val="000000"/>
          <w:kern w:val="3"/>
          <w:lang w:eastAsia="pl-PL"/>
        </w:rPr>
      </w:pPr>
      <w:r w:rsidRPr="00BB73E8">
        <w:rPr>
          <w:rFonts w:eastAsia="Calibri"/>
          <w:bCs/>
          <w:lang w:eastAsia="en-US"/>
        </w:rPr>
        <w:t xml:space="preserve">    </w:t>
      </w:r>
    </w:p>
    <w:p w14:paraId="6C696BC1" w14:textId="77777777" w:rsidR="00BB73E8" w:rsidRPr="00BB73E8" w:rsidRDefault="00BB73E8" w:rsidP="00BB73E8">
      <w:pPr>
        <w:autoSpaceDE w:val="0"/>
        <w:autoSpaceDN w:val="0"/>
        <w:ind w:left="1440"/>
        <w:jc w:val="both"/>
        <w:rPr>
          <w:color w:val="000000"/>
          <w:kern w:val="3"/>
          <w:lang w:eastAsia="pl-PL"/>
        </w:rPr>
      </w:pPr>
    </w:p>
    <w:p w14:paraId="2357C147" w14:textId="77777777" w:rsidR="00BB73E8" w:rsidRPr="00BB73E8" w:rsidRDefault="00BB73E8" w:rsidP="00BB73E8">
      <w:pPr>
        <w:suppressAutoHyphens/>
        <w:autoSpaceDN w:val="0"/>
        <w:ind w:left="1080"/>
        <w:jc w:val="both"/>
        <w:textAlignment w:val="baseline"/>
        <w:rPr>
          <w:color w:val="000000"/>
          <w:kern w:val="3"/>
          <w:lang w:eastAsia="pl-PL"/>
        </w:rPr>
      </w:pPr>
    </w:p>
    <w:p w14:paraId="789E8580" w14:textId="77777777" w:rsidR="00BB73E8" w:rsidRPr="00BB73E8" w:rsidRDefault="00BB73E8">
      <w:pPr>
        <w:widowControl w:val="0"/>
        <w:numPr>
          <w:ilvl w:val="0"/>
          <w:numId w:val="58"/>
        </w:numPr>
        <w:suppressAutoHyphens/>
        <w:autoSpaceDN w:val="0"/>
        <w:spacing w:before="120" w:after="120"/>
        <w:ind w:left="426"/>
        <w:jc w:val="both"/>
        <w:textAlignment w:val="baseline"/>
        <w:rPr>
          <w:kern w:val="3"/>
          <w:lang w:eastAsia="pl-PL"/>
        </w:rPr>
      </w:pPr>
      <w:r w:rsidRPr="00BB73E8">
        <w:rPr>
          <w:color w:val="000000"/>
          <w:kern w:val="3"/>
          <w:lang w:eastAsia="pl-PL"/>
        </w:rPr>
        <w:t xml:space="preserve">W okolicznościach określonych w art. 108 ust. 1 pkt 1, 2, 5 i 6 lub art. 109 ust. 1 pkt 2–10 ustawy Pzp, wykonawca nie podlega wykluczeniu jeżeli udowodni zamawiającemu, że spełnił </w:t>
      </w:r>
      <w:r w:rsidRPr="00BB73E8">
        <w:rPr>
          <w:b/>
          <w:color w:val="000000"/>
          <w:kern w:val="3"/>
          <w:lang w:eastAsia="pl-PL"/>
        </w:rPr>
        <w:t>łącznie</w:t>
      </w:r>
      <w:r w:rsidRPr="00BB73E8">
        <w:rPr>
          <w:color w:val="000000"/>
          <w:kern w:val="3"/>
          <w:lang w:eastAsia="pl-PL"/>
        </w:rPr>
        <w:t xml:space="preserve"> następujące przesłanki:</w:t>
      </w:r>
    </w:p>
    <w:p w14:paraId="74746EFE"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1) naprawił lub zobowiązał się do naprawienia szkody wyrządzonej przestępstwem, wykroczeniem lub swoim nieprawidłowym postępowaniem, w tym poprzez zadośćuczynienie pieniężne;</w:t>
      </w:r>
    </w:p>
    <w:p w14:paraId="31D2EAE7"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8A77AA"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3) podjął konkretne środki techniczne, organizacyjne i kadrowe, odpowiednie dla zapobiegania dalszym przestępstwom, wykroczeniom lub nieprawidłowemu postępowaniu, w szczególności:</w:t>
      </w:r>
    </w:p>
    <w:p w14:paraId="721D5CC4"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a) zerwał wszelkie powiązania z osobami lub podmiotami odpowiedzialnymi za nieprawidłowe postępowanie wykonawcy,</w:t>
      </w:r>
    </w:p>
    <w:p w14:paraId="6B7CCB41"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b) zreorganizował personel,</w:t>
      </w:r>
    </w:p>
    <w:p w14:paraId="2D8E66CA"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c) wdrożył system sprawozdawczości i kontroli,</w:t>
      </w:r>
    </w:p>
    <w:p w14:paraId="4B0A15B2"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lastRenderedPageBreak/>
        <w:t>d) utworzył struktury audytu wewnętrznego do monitorowania przestrzegania przepisów, wewnętrznych regulacji lub standardów,</w:t>
      </w:r>
    </w:p>
    <w:p w14:paraId="5CEF1DFC"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e) wprowadził wewnętrzne regulacje dotyczące odpowiedzialności i odszkodowań za nieprzestrzeganie przepisów, wewnętrznych regulacji lub standardów.</w:t>
      </w:r>
    </w:p>
    <w:p w14:paraId="5C5E41F5" w14:textId="77777777" w:rsidR="00BB73E8" w:rsidRPr="00BB73E8" w:rsidRDefault="00BB73E8" w:rsidP="00BB73E8">
      <w:pPr>
        <w:suppressAutoHyphens/>
        <w:autoSpaceDN w:val="0"/>
        <w:spacing w:after="120"/>
        <w:ind w:right="20"/>
        <w:jc w:val="both"/>
        <w:textAlignment w:val="baseline"/>
        <w:rPr>
          <w:kern w:val="3"/>
          <w:lang w:eastAsia="ar-SA"/>
        </w:rPr>
      </w:pPr>
      <w:r w:rsidRPr="00BB73E8">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3C828E6F" w14:textId="70713ECF" w:rsidR="009D4DAE" w:rsidRPr="00A209C9" w:rsidRDefault="009D4DA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pPr>
        <w:numPr>
          <w:ilvl w:val="0"/>
          <w:numId w:val="10"/>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pPr>
        <w:numPr>
          <w:ilvl w:val="0"/>
          <w:numId w:val="23"/>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1217FE0F" w:rsidR="002A0F60" w:rsidRPr="00A209C9" w:rsidRDefault="002A0F60">
      <w:pPr>
        <w:numPr>
          <w:ilvl w:val="0"/>
          <w:numId w:val="23"/>
        </w:numPr>
        <w:autoSpaceDE w:val="0"/>
        <w:autoSpaceDN w:val="0"/>
        <w:spacing w:before="120" w:after="12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pPr>
        <w:numPr>
          <w:ilvl w:val="0"/>
          <w:numId w:val="6"/>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lastRenderedPageBreak/>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4A90DAA1" w14:textId="77777777" w:rsidR="002A0F60" w:rsidRPr="00A209C9" w:rsidRDefault="002A0F60" w:rsidP="00A209C9">
      <w:pPr>
        <w:pStyle w:val="Tekstpodstawowy"/>
        <w:spacing w:after="0"/>
        <w:ind w:right="20"/>
        <w:jc w:val="both"/>
        <w:rPr>
          <w:color w:val="000000" w:themeColor="text1"/>
        </w:rPr>
      </w:pPr>
    </w:p>
    <w:p w14:paraId="3220303A" w14:textId="07963AD7" w:rsidR="002A0F60" w:rsidRPr="00A209C9" w:rsidRDefault="00045388">
      <w:pPr>
        <w:numPr>
          <w:ilvl w:val="0"/>
          <w:numId w:val="24"/>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pPr>
        <w:numPr>
          <w:ilvl w:val="0"/>
          <w:numId w:val="24"/>
        </w:numPr>
        <w:spacing w:before="240"/>
        <w:ind w:right="-108"/>
        <w:jc w:val="both"/>
        <w:rPr>
          <w:b/>
        </w:rPr>
      </w:pPr>
      <w:r w:rsidRPr="00A209C9">
        <w:rPr>
          <w:b/>
        </w:rPr>
        <w:t>Zobowiązanie podmiotu trzeciego</w:t>
      </w:r>
    </w:p>
    <w:p w14:paraId="2CD6A4A2" w14:textId="77777777" w:rsidR="002A0F60" w:rsidRPr="00A209C9" w:rsidRDefault="002A0F60">
      <w:pPr>
        <w:pStyle w:val="Tekstpodstawowy"/>
        <w:numPr>
          <w:ilvl w:val="0"/>
          <w:numId w:val="11"/>
        </w:numPr>
        <w:ind w:right="20"/>
        <w:jc w:val="both"/>
      </w:pPr>
      <w:r w:rsidRPr="00A209C9">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pPr>
        <w:pStyle w:val="Tekstpodstawowy"/>
        <w:numPr>
          <w:ilvl w:val="0"/>
          <w:numId w:val="17"/>
        </w:numPr>
        <w:ind w:right="20"/>
        <w:jc w:val="both"/>
      </w:pPr>
      <w:r w:rsidRPr="00A209C9">
        <w:t>zakres dostępnych wykonawcy zasobów podmiotu udostępniającego zasoby;</w:t>
      </w:r>
    </w:p>
    <w:p w14:paraId="7E4D0684" w14:textId="77777777" w:rsidR="002A0F60" w:rsidRPr="00A209C9" w:rsidRDefault="002A0F60">
      <w:pPr>
        <w:pStyle w:val="Tekstpodstawowy"/>
        <w:numPr>
          <w:ilvl w:val="0"/>
          <w:numId w:val="17"/>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pPr>
        <w:pStyle w:val="Tekstpodstawowy"/>
        <w:numPr>
          <w:ilvl w:val="0"/>
          <w:numId w:val="17"/>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pPr>
        <w:pStyle w:val="Tekstpodstawowy"/>
        <w:numPr>
          <w:ilvl w:val="0"/>
          <w:numId w:val="24"/>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pPr>
        <w:numPr>
          <w:ilvl w:val="0"/>
          <w:numId w:val="24"/>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lastRenderedPageBreak/>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52E94E" w14:textId="7DCD4F04" w:rsidR="000D6837" w:rsidRPr="00A209C9" w:rsidRDefault="000D6837" w:rsidP="00A209C9">
      <w:pPr>
        <w:pStyle w:val="Tekstpodstawowy"/>
        <w:spacing w:after="0"/>
        <w:ind w:right="20"/>
        <w:jc w:val="both"/>
      </w:pPr>
    </w:p>
    <w:p w14:paraId="51110FB0" w14:textId="77777777" w:rsidR="006C5150" w:rsidRPr="00A209C9" w:rsidRDefault="006C5150" w:rsidP="00A209C9">
      <w:pPr>
        <w:pStyle w:val="Tekstpodstawowy"/>
        <w:spacing w:after="0"/>
        <w:ind w:right="20"/>
        <w:jc w:val="both"/>
      </w:pP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pPr>
        <w:numPr>
          <w:ilvl w:val="0"/>
          <w:numId w:val="10"/>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pPr>
        <w:pStyle w:val="Tekstpodstawowy"/>
        <w:numPr>
          <w:ilvl w:val="0"/>
          <w:numId w:val="33"/>
        </w:numPr>
        <w:spacing w:after="0"/>
        <w:ind w:right="20"/>
        <w:jc w:val="both"/>
      </w:pPr>
      <w:r w:rsidRPr="00A209C9">
        <w:t>w zakresie podstaw wykluczenia:</w:t>
      </w:r>
    </w:p>
    <w:p w14:paraId="0035540F" w14:textId="326C1651" w:rsidR="00BB73E8" w:rsidRPr="00BB73E8" w:rsidRDefault="00BB73E8" w:rsidP="00BB73E8">
      <w:pPr>
        <w:pStyle w:val="Akapitzlist"/>
        <w:numPr>
          <w:ilvl w:val="1"/>
          <w:numId w:val="1"/>
        </w:numPr>
      </w:pPr>
      <w:r w:rsidRPr="00BB73E8">
        <w:t>art. 108 ust. 1 pkt 1, pkt 2, pkt 3, pkt 4, pkt 5, pkt 6 oraz art. 109 ust. 1 pkt 5, pkt 7, pkt 8 i pkt 10 P.z.p. - oświadczenie wykonawcy o aktualności informacji zawartych w oświadczeniu, o którym mowa w art. 125 ust. 1 ustawy stanowiącym załącznik nr 10 do SWZ;</w:t>
      </w:r>
    </w:p>
    <w:p w14:paraId="3BD4839B" w14:textId="77777777" w:rsidR="002A0F60" w:rsidRPr="00A5232E" w:rsidRDefault="002A0F60" w:rsidP="00A209C9">
      <w:pPr>
        <w:pStyle w:val="Tekstpodstawowy"/>
        <w:spacing w:after="0"/>
        <w:ind w:right="20"/>
        <w:jc w:val="both"/>
      </w:pPr>
    </w:p>
    <w:p w14:paraId="62C9AF0B" w14:textId="77777777" w:rsidR="002A0F60" w:rsidRPr="00A5232E" w:rsidRDefault="002A0F60" w:rsidP="00A209C9">
      <w:pPr>
        <w:pStyle w:val="Tekstpodstawowy"/>
        <w:spacing w:after="0"/>
        <w:ind w:right="20"/>
        <w:jc w:val="both"/>
      </w:pPr>
    </w:p>
    <w:p w14:paraId="6E4D1BC0" w14:textId="3778FA88" w:rsidR="002A0F60" w:rsidRPr="00A5232E" w:rsidRDefault="002A0F60">
      <w:pPr>
        <w:pStyle w:val="Tekstpodstawowy"/>
        <w:numPr>
          <w:ilvl w:val="0"/>
          <w:numId w:val="33"/>
        </w:numPr>
        <w:spacing w:after="0"/>
        <w:ind w:right="20"/>
        <w:jc w:val="both"/>
      </w:pPr>
      <w:r w:rsidRPr="00A5232E">
        <w:t>w zakresie spełniania warunków udziału w postępowaniu:</w:t>
      </w:r>
    </w:p>
    <w:p w14:paraId="1F2E7E07" w14:textId="77777777" w:rsidR="002A0F60" w:rsidRPr="00A5232E" w:rsidRDefault="002A0F60" w:rsidP="00A209C9">
      <w:pPr>
        <w:pStyle w:val="Tekstpodstawowy"/>
        <w:spacing w:after="0"/>
        <w:ind w:left="1515" w:right="20"/>
        <w:jc w:val="both"/>
        <w:rPr>
          <w:color w:val="000000" w:themeColor="text1"/>
        </w:rPr>
      </w:pPr>
    </w:p>
    <w:p w14:paraId="71B9916B" w14:textId="3FA7039A" w:rsidR="003F7A55" w:rsidRPr="00A5232E" w:rsidRDefault="003F7A55">
      <w:pPr>
        <w:pStyle w:val="Akapitzlist"/>
        <w:numPr>
          <w:ilvl w:val="0"/>
          <w:numId w:val="36"/>
        </w:numPr>
        <w:jc w:val="both"/>
        <w:rPr>
          <w:color w:val="000000" w:themeColor="text1"/>
        </w:rPr>
      </w:pPr>
      <w:r w:rsidRPr="00A5232E">
        <w:rPr>
          <w:color w:val="000000" w:themeColor="text1"/>
          <w:shd w:val="clear" w:color="auto" w:fill="FFFFFF"/>
        </w:rPr>
        <w:t xml:space="preserve">wykaz robót budowlanych wykonanych nie wcześniej niż w okresie ostatnich 5 lat, a jeżeli okres prowadzenia działalności jest krótszy - w tym okresie, wraz </w:t>
      </w:r>
      <w:r w:rsidR="00356C69">
        <w:rPr>
          <w:color w:val="000000" w:themeColor="text1"/>
          <w:shd w:val="clear" w:color="auto" w:fill="FFFFFF"/>
        </w:rPr>
        <w:br/>
      </w:r>
      <w:r w:rsidRPr="00A5232E">
        <w:rPr>
          <w:color w:val="000000" w:themeColor="text1"/>
          <w:shd w:val="clear" w:color="auto" w:fill="FFFFFF"/>
        </w:rP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w:t>
      </w:r>
      <w:r w:rsidR="00582A48" w:rsidRPr="00A5232E">
        <w:rPr>
          <w:color w:val="000000" w:themeColor="text1"/>
          <w:shd w:val="clear" w:color="auto" w:fill="FFFFFF"/>
        </w:rPr>
        <w:t xml:space="preserve">6 </w:t>
      </w:r>
      <w:r w:rsidRPr="00A5232E">
        <w:rPr>
          <w:color w:val="000000" w:themeColor="text1"/>
          <w:shd w:val="clear" w:color="auto" w:fill="FFFFFF"/>
        </w:rPr>
        <w:t xml:space="preserve">do SWZ </w:t>
      </w:r>
    </w:p>
    <w:p w14:paraId="770CABA8" w14:textId="513FBEDF" w:rsidR="003F7A55" w:rsidRPr="00A5232E" w:rsidRDefault="003F7A55">
      <w:pPr>
        <w:pStyle w:val="Akapitzlist"/>
        <w:numPr>
          <w:ilvl w:val="0"/>
          <w:numId w:val="36"/>
        </w:numPr>
        <w:jc w:val="both"/>
        <w:rPr>
          <w:color w:val="000000" w:themeColor="text1"/>
        </w:rPr>
      </w:pPr>
      <w:r w:rsidRPr="00A5232E">
        <w:rPr>
          <w:color w:val="000000" w:themeColor="text1"/>
          <w:shd w:val="clear" w:color="auto" w:fill="FFFFFF"/>
        </w:rPr>
        <w:t xml:space="preserve">wykaz osób, skierowanych przez wykonawcę do realizacji zamówienia publicznego, odpowiedzialnych za kierowanie robotami budowlanymi, wraz </w:t>
      </w:r>
      <w:r w:rsidR="00356C69">
        <w:rPr>
          <w:color w:val="000000" w:themeColor="text1"/>
          <w:shd w:val="clear" w:color="auto" w:fill="FFFFFF"/>
        </w:rPr>
        <w:br/>
      </w:r>
      <w:r w:rsidRPr="00A5232E">
        <w:rPr>
          <w:color w:val="000000" w:themeColor="text1"/>
          <w:shd w:val="clear" w:color="auto" w:fill="FFFFFF"/>
        </w:rPr>
        <w:t xml:space="preserve">z informacjami na temat ich kwalifikacji zawodowych, uprawnień, doświadczenia </w:t>
      </w:r>
      <w:r w:rsidR="00356C69">
        <w:rPr>
          <w:color w:val="000000" w:themeColor="text1"/>
          <w:shd w:val="clear" w:color="auto" w:fill="FFFFFF"/>
        </w:rPr>
        <w:br/>
      </w:r>
      <w:r w:rsidRPr="00A5232E">
        <w:rPr>
          <w:color w:val="000000" w:themeColor="text1"/>
          <w:shd w:val="clear" w:color="auto" w:fill="FFFFFF"/>
        </w:rPr>
        <w:t>i wykształcenia niezbędnych do wykonania zamówienia publicznego, a także zakresu wykonywanych przez nie czynności oraz informacją o podstawie do dysponowania tymi osobami – zgodnie z załącznikiem nr</w:t>
      </w:r>
      <w:r w:rsidR="00582A48" w:rsidRPr="00A5232E">
        <w:rPr>
          <w:color w:val="000000" w:themeColor="text1"/>
          <w:shd w:val="clear" w:color="auto" w:fill="FFFFFF"/>
        </w:rPr>
        <w:t xml:space="preserve"> 7</w:t>
      </w:r>
      <w:r w:rsidRPr="00A5232E">
        <w:rPr>
          <w:color w:val="000000" w:themeColor="text1"/>
          <w:shd w:val="clear" w:color="auto" w:fill="FFFFFF"/>
        </w:rPr>
        <w:t xml:space="preserve"> do SWZ</w:t>
      </w:r>
    </w:p>
    <w:p w14:paraId="4B43F1C8" w14:textId="45C86F42" w:rsidR="002A0F60" w:rsidRPr="00A209C9" w:rsidRDefault="002A0F60" w:rsidP="00A209C9">
      <w:pPr>
        <w:pStyle w:val="Tekstpodstawowy"/>
        <w:spacing w:after="0"/>
        <w:ind w:right="20"/>
        <w:jc w:val="both"/>
      </w:pPr>
    </w:p>
    <w:p w14:paraId="35610BA6" w14:textId="43EE3C6C" w:rsidR="003A18B3"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360424ED" w14:textId="77777777" w:rsidR="00BB73E8" w:rsidRDefault="00BB73E8" w:rsidP="00A209C9">
      <w:pPr>
        <w:jc w:val="both"/>
        <w:rPr>
          <w:rFonts w:ascii="Open Sans" w:hAnsi="Open Sans"/>
          <w:color w:val="333333"/>
        </w:rPr>
      </w:pPr>
    </w:p>
    <w:p w14:paraId="6ED81C77" w14:textId="4A764364" w:rsidR="003A24FE" w:rsidRPr="00A209C9" w:rsidRDefault="00356C69" w:rsidP="00A209C9">
      <w:pPr>
        <w:jc w:val="both"/>
      </w:pPr>
      <w:r>
        <w:rPr>
          <w:rFonts w:ascii="Open Sans" w:hAnsi="Open Sans"/>
          <w:color w:val="333333"/>
        </w:rPr>
        <w:br/>
      </w:r>
    </w:p>
    <w:p w14:paraId="487EB656" w14:textId="77777777" w:rsidR="00587F52"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lastRenderedPageBreak/>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281322A1" w:rsidR="002A0F60" w:rsidRPr="00A209C9" w:rsidRDefault="002A0F60">
      <w:pPr>
        <w:numPr>
          <w:ilvl w:val="0"/>
          <w:numId w:val="9"/>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BB73E8">
        <w:rPr>
          <w:b/>
          <w:color w:val="000000" w:themeColor="text1"/>
        </w:rPr>
        <w:t>90</w:t>
      </w:r>
      <w:r w:rsidR="00453AAA">
        <w:rPr>
          <w:b/>
          <w:color w:val="000000" w:themeColor="text1"/>
        </w:rPr>
        <w:t> 000,00</w:t>
      </w:r>
      <w:r w:rsidRPr="00A209C9">
        <w:rPr>
          <w:bCs/>
          <w:color w:val="000000" w:themeColor="text1"/>
        </w:rPr>
        <w:t>. (słownie:</w:t>
      </w:r>
      <w:r w:rsidR="00597E80">
        <w:rPr>
          <w:bCs/>
          <w:color w:val="000000" w:themeColor="text1"/>
        </w:rPr>
        <w:t xml:space="preserve"> </w:t>
      </w:r>
      <w:r w:rsidR="00BB73E8">
        <w:rPr>
          <w:bCs/>
          <w:color w:val="000000" w:themeColor="text1"/>
        </w:rPr>
        <w:t xml:space="preserve">dziewięćdziesiąt </w:t>
      </w:r>
      <w:r w:rsidR="00597E80">
        <w:rPr>
          <w:bCs/>
          <w:color w:val="000000" w:themeColor="text1"/>
        </w:rPr>
        <w:t xml:space="preserve"> </w:t>
      </w:r>
      <w:r w:rsidR="00453AAA">
        <w:rPr>
          <w:bCs/>
          <w:color w:val="000000" w:themeColor="text1"/>
        </w:rPr>
        <w:t>tysięcy</w:t>
      </w:r>
      <w:r w:rsidRPr="00A209C9">
        <w:rPr>
          <w:bCs/>
          <w:color w:val="000000" w:themeColor="text1"/>
        </w:rPr>
        <w:t xml:space="preserve"> zł.  00/</w:t>
      </w:r>
      <w:r w:rsidR="00597E80">
        <w:rPr>
          <w:bCs/>
          <w:color w:val="000000" w:themeColor="text1"/>
        </w:rPr>
        <w:t>1</w:t>
      </w:r>
      <w:r w:rsidRPr="00A209C9">
        <w:rPr>
          <w:bCs/>
          <w:color w:val="000000" w:themeColor="text1"/>
        </w:rPr>
        <w:t>00).</w:t>
      </w:r>
    </w:p>
    <w:p w14:paraId="7500178F" w14:textId="6A3F3349" w:rsidR="002A0F60" w:rsidRPr="00A209C9" w:rsidRDefault="002A0F60">
      <w:pPr>
        <w:numPr>
          <w:ilvl w:val="0"/>
          <w:numId w:val="9"/>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es związania ofertą tj. do dnia</w:t>
      </w:r>
      <w:r w:rsidR="00582A48">
        <w:rPr>
          <w:color w:val="000000" w:themeColor="text1"/>
        </w:rPr>
        <w:t xml:space="preserve"> </w:t>
      </w:r>
      <w:r w:rsidR="00F25B22">
        <w:rPr>
          <w:b/>
          <w:color w:val="000000" w:themeColor="text1"/>
        </w:rPr>
        <w:t>29.04.2024</w:t>
      </w:r>
      <w:r w:rsidR="00045388" w:rsidRPr="00FA0BCF">
        <w:rPr>
          <w:b/>
          <w:color w:val="000000" w:themeColor="text1"/>
        </w:rPr>
        <w:t xml:space="preserve"> </w:t>
      </w:r>
      <w:r w:rsidR="009E2217" w:rsidRPr="00FA0BCF">
        <w:rPr>
          <w:b/>
          <w:color w:val="000000" w:themeColor="text1"/>
        </w:rPr>
        <w:t xml:space="preserve"> </w:t>
      </w:r>
      <w:r w:rsidR="006D19FC" w:rsidRPr="00FA0BCF">
        <w:rPr>
          <w:b/>
          <w:color w:val="000000" w:themeColor="text1"/>
        </w:rPr>
        <w:t>roku</w:t>
      </w:r>
    </w:p>
    <w:p w14:paraId="1F94B90B"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Wadium może być wniesione w jednej lub kilku formach wskazanych w art. 97 ust. 7 ustawy Pzp.</w:t>
      </w:r>
    </w:p>
    <w:p w14:paraId="278BAAA6"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7F49CA21" w:rsidR="002A0F60" w:rsidRPr="00A209C9" w:rsidRDefault="002A0F60" w:rsidP="00A209C9">
      <w:pPr>
        <w:numPr>
          <w:ilvl w:val="0"/>
          <w:numId w:val="5"/>
        </w:numPr>
        <w:ind w:left="714" w:hanging="357"/>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w:t>
      </w:r>
      <w:r w:rsidR="00F25B22">
        <w:rPr>
          <w:color w:val="000000" w:themeColor="text1"/>
        </w:rPr>
        <w:t>29.04.2024 r.</w:t>
      </w:r>
      <w:r w:rsidR="006D19FC" w:rsidRPr="00A209C9">
        <w:rPr>
          <w:color w:val="000000" w:themeColor="text1"/>
        </w:rPr>
        <w:t xml:space="preserve">,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2" w:name="_Toc42045495"/>
      <w:r w:rsidRPr="00A209C9">
        <w:rPr>
          <w:color w:val="000000" w:themeColor="text1"/>
        </w:rPr>
        <w:t>. 98 ust. 6 ustawy Pzp.</w:t>
      </w:r>
    </w:p>
    <w:p w14:paraId="05E02F6C"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487FA82" w14:textId="77777777" w:rsidR="002A0F60" w:rsidRPr="00A209C9" w:rsidRDefault="002A0F60">
      <w:pPr>
        <w:numPr>
          <w:ilvl w:val="0"/>
          <w:numId w:val="9"/>
        </w:numPr>
        <w:autoSpaceDE w:val="0"/>
        <w:autoSpaceDN w:val="0"/>
        <w:spacing w:before="120" w:after="120"/>
        <w:jc w:val="both"/>
        <w:rPr>
          <w:color w:val="000000" w:themeColor="text1"/>
        </w:rPr>
      </w:pPr>
      <w:bookmarkStart w:id="3" w:name="_Toc42045496"/>
      <w:bookmarkEnd w:id="2"/>
      <w:r w:rsidRPr="00A209C9">
        <w:rPr>
          <w:color w:val="000000" w:themeColor="text1"/>
        </w:rPr>
        <w:t>Zamawiający dokona zwrotu wadium na zasadach określonych w art. 98 ust. 1–5 ustawy Pzp.</w:t>
      </w:r>
      <w:bookmarkEnd w:id="3"/>
    </w:p>
    <w:p w14:paraId="6FA21082" w14:textId="77777777" w:rsidR="002A0F60" w:rsidRPr="00A209C9" w:rsidRDefault="002A0F60">
      <w:pPr>
        <w:numPr>
          <w:ilvl w:val="0"/>
          <w:numId w:val="9"/>
        </w:numPr>
        <w:autoSpaceDE w:val="0"/>
        <w:autoSpaceDN w:val="0"/>
        <w:spacing w:before="120" w:after="120"/>
        <w:jc w:val="both"/>
      </w:pPr>
      <w:r w:rsidRPr="00A209C9">
        <w:t>Zamawiający zatrzymuje wadium wraz z odsetkami na podstawie art. 98 ust. 6 ustawy Pzp.</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77777777" w:rsidR="00970482" w:rsidRPr="00A209C9" w:rsidRDefault="00DA5BE2">
      <w:pPr>
        <w:numPr>
          <w:ilvl w:val="0"/>
          <w:numId w:val="30"/>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pPr>
        <w:pStyle w:val="Nagwek5"/>
        <w:keepLines/>
        <w:numPr>
          <w:ilvl w:val="0"/>
          <w:numId w:val="30"/>
        </w:numPr>
        <w:autoSpaceDE/>
        <w:autoSpaceDN/>
        <w:spacing w:line="276" w:lineRule="auto"/>
      </w:pPr>
      <w:bookmarkStart w:id="4" w:name="_21eeoojwb3nb" w:colFirst="0" w:colLast="0"/>
      <w:bookmarkEnd w:id="4"/>
      <w:r w:rsidRPr="00A209C9">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pPr>
        <w:numPr>
          <w:ilvl w:val="0"/>
          <w:numId w:val="30"/>
        </w:numPr>
        <w:pBdr>
          <w:top w:val="nil"/>
          <w:left w:val="nil"/>
          <w:bottom w:val="nil"/>
          <w:right w:val="nil"/>
          <w:between w:val="nil"/>
        </w:pBdr>
        <w:jc w:val="both"/>
      </w:pPr>
      <w:r w:rsidRPr="00A209C9">
        <w:t>Oferta powinna być:</w:t>
      </w:r>
    </w:p>
    <w:p w14:paraId="504F504A" w14:textId="77777777" w:rsidR="00970482" w:rsidRPr="00A209C9" w:rsidRDefault="00970482">
      <w:pPr>
        <w:numPr>
          <w:ilvl w:val="1"/>
          <w:numId w:val="29"/>
        </w:numPr>
        <w:jc w:val="both"/>
      </w:pPr>
      <w:r w:rsidRPr="00A209C9">
        <w:t>sporządzona na podstawie załączników niniejszej SWZ w języku polskim,</w:t>
      </w:r>
    </w:p>
    <w:p w14:paraId="0DC7F7E3" w14:textId="77777777" w:rsidR="00970482" w:rsidRPr="00A209C9" w:rsidRDefault="00970482">
      <w:pPr>
        <w:numPr>
          <w:ilvl w:val="1"/>
          <w:numId w:val="29"/>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pPr>
        <w:numPr>
          <w:ilvl w:val="1"/>
          <w:numId w:val="29"/>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pPr>
        <w:numPr>
          <w:ilvl w:val="0"/>
          <w:numId w:val="30"/>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3091890" w14:textId="77777777" w:rsidR="00970482" w:rsidRPr="00A209C9" w:rsidRDefault="00970482">
      <w:pPr>
        <w:numPr>
          <w:ilvl w:val="0"/>
          <w:numId w:val="30"/>
        </w:numPr>
        <w:pBdr>
          <w:top w:val="nil"/>
          <w:left w:val="nil"/>
          <w:bottom w:val="nil"/>
          <w:right w:val="nil"/>
          <w:between w:val="nil"/>
        </w:pBdr>
        <w:jc w:val="both"/>
      </w:pPr>
      <w:r w:rsidRPr="00A209C9">
        <w:t>W przypadku wykorzystania formatu podpisu XAdES zewnętrzny. Zamawiający wymaga dołączenia odpowiedniej ilości plików tj. podpisywanych plików z danymi oraz plików XAdES.</w:t>
      </w:r>
    </w:p>
    <w:p w14:paraId="0EFFFE38" w14:textId="77777777" w:rsidR="00970482" w:rsidRPr="00A209C9" w:rsidRDefault="00970482">
      <w:pPr>
        <w:numPr>
          <w:ilvl w:val="0"/>
          <w:numId w:val="30"/>
        </w:numPr>
        <w:pBdr>
          <w:top w:val="nil"/>
          <w:left w:val="nil"/>
          <w:bottom w:val="nil"/>
          <w:right w:val="nil"/>
          <w:between w:val="nil"/>
        </w:pBdr>
        <w:jc w:val="both"/>
      </w:pPr>
      <w:r w:rsidRPr="00A209C9">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pPr>
        <w:numPr>
          <w:ilvl w:val="0"/>
          <w:numId w:val="30"/>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pPr>
        <w:numPr>
          <w:ilvl w:val="0"/>
          <w:numId w:val="30"/>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pPr>
        <w:numPr>
          <w:ilvl w:val="0"/>
          <w:numId w:val="30"/>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pPr>
        <w:numPr>
          <w:ilvl w:val="0"/>
          <w:numId w:val="30"/>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pPr>
        <w:numPr>
          <w:ilvl w:val="0"/>
          <w:numId w:val="30"/>
        </w:numPr>
        <w:pBdr>
          <w:top w:val="nil"/>
          <w:left w:val="nil"/>
          <w:bottom w:val="nil"/>
          <w:right w:val="nil"/>
          <w:between w:val="nil"/>
        </w:pBdr>
        <w:jc w:val="both"/>
      </w:pPr>
      <w:r w:rsidRPr="00A209C9">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w:t>
      </w:r>
      <w:r w:rsidRPr="00A209C9">
        <w:lastRenderedPageBreak/>
        <w:t>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pPr>
        <w:numPr>
          <w:ilvl w:val="0"/>
          <w:numId w:val="30"/>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pPr>
        <w:numPr>
          <w:ilvl w:val="0"/>
          <w:numId w:val="30"/>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pPr>
        <w:numPr>
          <w:ilvl w:val="0"/>
          <w:numId w:val="30"/>
        </w:numPr>
        <w:jc w:val="both"/>
        <w:rPr>
          <w:rFonts w:eastAsia="Calibri"/>
        </w:rPr>
      </w:pPr>
      <w:r w:rsidRPr="00A209C9">
        <w:t>Zamawiający rekomenduje wykorzystanie formatów: .pdf .doc .docx .xls .xlsx .jpg (.jpeg)</w:t>
      </w:r>
      <w:r w:rsidRPr="00A209C9">
        <w:rPr>
          <w:b/>
          <w:u w:val="single"/>
        </w:rPr>
        <w:t>.</w:t>
      </w:r>
    </w:p>
    <w:p w14:paraId="4994195D" w14:textId="77777777" w:rsidR="00970482" w:rsidRPr="00A209C9" w:rsidRDefault="00970482">
      <w:pPr>
        <w:numPr>
          <w:ilvl w:val="0"/>
          <w:numId w:val="30"/>
        </w:numPr>
        <w:jc w:val="both"/>
      </w:pPr>
      <w:r w:rsidRPr="00A209C9">
        <w:t>W celu ewentualnej kompresji danych Zamawiający rekomenduje wykorzystanie jednego z rozszerzeń:</w:t>
      </w:r>
    </w:p>
    <w:p w14:paraId="519DDDB9" w14:textId="77777777" w:rsidR="00970482" w:rsidRPr="00A209C9" w:rsidRDefault="00970482">
      <w:pPr>
        <w:numPr>
          <w:ilvl w:val="1"/>
          <w:numId w:val="28"/>
        </w:numPr>
        <w:jc w:val="both"/>
      </w:pPr>
      <w:r w:rsidRPr="00A209C9">
        <w:t xml:space="preserve">.zip </w:t>
      </w:r>
    </w:p>
    <w:p w14:paraId="304FF35A" w14:textId="77777777" w:rsidR="00970482" w:rsidRPr="00A209C9" w:rsidRDefault="00970482">
      <w:pPr>
        <w:numPr>
          <w:ilvl w:val="1"/>
          <w:numId w:val="28"/>
        </w:numPr>
        <w:jc w:val="both"/>
      </w:pPr>
      <w:r w:rsidRPr="00A209C9">
        <w:t>.7Z</w:t>
      </w:r>
    </w:p>
    <w:p w14:paraId="063781D1" w14:textId="77777777" w:rsidR="00970482" w:rsidRPr="00A209C9" w:rsidRDefault="00970482">
      <w:pPr>
        <w:numPr>
          <w:ilvl w:val="0"/>
          <w:numId w:val="30"/>
        </w:numPr>
        <w:jc w:val="both"/>
        <w:rPr>
          <w:rFonts w:eastAsia="Calibri"/>
        </w:rPr>
      </w:pPr>
      <w:r w:rsidRPr="00A209C9">
        <w:t xml:space="preserve">Wśród rozszerzeń powszechnych a </w:t>
      </w:r>
      <w:r w:rsidRPr="00A209C9">
        <w:rPr>
          <w:b/>
        </w:rPr>
        <w:t>niewystępujących</w:t>
      </w:r>
      <w:r w:rsidRPr="00A209C9">
        <w:t xml:space="preserve"> w Rozporządzeniu KRI występują: .rar .gif .bmp .numbers .pages. </w:t>
      </w:r>
      <w:r w:rsidRPr="00A209C9">
        <w:rPr>
          <w:b/>
        </w:rPr>
        <w:t>Dokumenty złożone w takich plikach zostaną uznane za złożone nieskutecznie.</w:t>
      </w:r>
    </w:p>
    <w:p w14:paraId="1A7BD24B" w14:textId="77777777" w:rsidR="00970482" w:rsidRPr="00A209C9" w:rsidRDefault="00970482">
      <w:pPr>
        <w:numPr>
          <w:ilvl w:val="0"/>
          <w:numId w:val="30"/>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eDoApp służącej do składania podpisu osobistego, który wynosi </w:t>
      </w:r>
      <w:r w:rsidRPr="00A209C9">
        <w:rPr>
          <w:b/>
        </w:rPr>
        <w:t>maksymalnie 5MB</w:t>
      </w:r>
      <w:r w:rsidRPr="00A209C9">
        <w:t>.</w:t>
      </w:r>
    </w:p>
    <w:p w14:paraId="1B3F56E6" w14:textId="77777777" w:rsidR="00970482" w:rsidRPr="00A209C9" w:rsidRDefault="00970482">
      <w:pPr>
        <w:numPr>
          <w:ilvl w:val="0"/>
          <w:numId w:val="30"/>
        </w:numPr>
        <w:jc w:val="both"/>
      </w:pPr>
      <w:r w:rsidRPr="00A209C9">
        <w:t>W przypadku stosowania przez wykonawcę kwalifikowanego podpisu elektronicznego:</w:t>
      </w:r>
    </w:p>
    <w:p w14:paraId="67F56C40" w14:textId="77777777" w:rsidR="00970482" w:rsidRPr="00A209C9" w:rsidRDefault="00970482">
      <w:pPr>
        <w:numPr>
          <w:ilvl w:val="0"/>
          <w:numId w:val="27"/>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PAdES. </w:t>
      </w:r>
    </w:p>
    <w:p w14:paraId="4D46C404" w14:textId="77777777" w:rsidR="00970482" w:rsidRPr="00A209C9" w:rsidRDefault="00970482">
      <w:pPr>
        <w:numPr>
          <w:ilvl w:val="0"/>
          <w:numId w:val="27"/>
        </w:numPr>
        <w:jc w:val="both"/>
      </w:pPr>
      <w:r w:rsidRPr="00A209C9">
        <w:t xml:space="preserve">Pliki w innych formatach niż PDF </w:t>
      </w:r>
      <w:r w:rsidRPr="00A209C9">
        <w:rPr>
          <w:b/>
        </w:rPr>
        <w:t>zaleca się opatrzyć podpisem w formacie XAdES o typie zewnętrznym</w:t>
      </w:r>
      <w:r w:rsidRPr="00A209C9">
        <w:t>. Wykonawca powinien pamiętać, aby plik z podpisem przekazywać łącznie z dokumentem podpisywanym.</w:t>
      </w:r>
    </w:p>
    <w:p w14:paraId="2EDAB574" w14:textId="77777777" w:rsidR="00970482" w:rsidRPr="00A209C9" w:rsidRDefault="00970482">
      <w:pPr>
        <w:numPr>
          <w:ilvl w:val="0"/>
          <w:numId w:val="27"/>
        </w:numPr>
        <w:jc w:val="both"/>
      </w:pPr>
      <w:r w:rsidRPr="00A209C9">
        <w:t>Zamawiający rekomenduje wykorzystanie podpisu z kwalifikowanym znacznikiem czasu.</w:t>
      </w:r>
    </w:p>
    <w:p w14:paraId="1770017A" w14:textId="77777777" w:rsidR="00970482" w:rsidRPr="00A209C9" w:rsidRDefault="00970482">
      <w:pPr>
        <w:numPr>
          <w:ilvl w:val="0"/>
          <w:numId w:val="30"/>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pPr>
        <w:numPr>
          <w:ilvl w:val="0"/>
          <w:numId w:val="30"/>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pPr>
        <w:numPr>
          <w:ilvl w:val="0"/>
          <w:numId w:val="30"/>
        </w:numPr>
        <w:jc w:val="both"/>
      </w:pPr>
      <w:r w:rsidRPr="00A209C9">
        <w:t>Osobą składającą ofertę powinna być osoba kontaktowa podawana w dokumentacji.</w:t>
      </w:r>
    </w:p>
    <w:p w14:paraId="55C510AB" w14:textId="77777777" w:rsidR="00970482" w:rsidRPr="00A209C9" w:rsidRDefault="00970482">
      <w:pPr>
        <w:numPr>
          <w:ilvl w:val="0"/>
          <w:numId w:val="30"/>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pPr>
        <w:numPr>
          <w:ilvl w:val="0"/>
          <w:numId w:val="30"/>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pPr>
        <w:numPr>
          <w:ilvl w:val="0"/>
          <w:numId w:val="30"/>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0FC6376B" w14:textId="240E2153" w:rsidR="00970482" w:rsidRPr="00A209C9" w:rsidRDefault="00970482">
      <w:pPr>
        <w:numPr>
          <w:ilvl w:val="3"/>
          <w:numId w:val="21"/>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77777777" w:rsidR="00970482" w:rsidRPr="00A209C9" w:rsidRDefault="00970482">
      <w:pPr>
        <w:numPr>
          <w:ilvl w:val="3"/>
          <w:numId w:val="21"/>
        </w:numPr>
        <w:spacing w:after="200" w:line="252" w:lineRule="auto"/>
        <w:ind w:left="284" w:hanging="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wskazuje formularzu cenowym </w:t>
      </w:r>
    </w:p>
    <w:p w14:paraId="7BC85654" w14:textId="64B1BA1C" w:rsidR="00970482" w:rsidRPr="00A209C9"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5911B1E5" w14:textId="77777777" w:rsidR="00B00FE9" w:rsidRPr="00A209C9" w:rsidRDefault="00B00FE9" w:rsidP="00A209C9">
      <w:pPr>
        <w:spacing w:after="200"/>
        <w:jc w:val="both"/>
        <w:rPr>
          <w:rFonts w:eastAsiaTheme="majorEastAsia"/>
          <w:lang w:eastAsia="en-US"/>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294D66F0" w14:textId="77777777" w:rsidR="00970482" w:rsidRPr="00A209C9" w:rsidRDefault="00970482" w:rsidP="00A209C9">
      <w:pPr>
        <w:spacing w:after="200"/>
        <w:jc w:val="both"/>
        <w:rPr>
          <w:rFonts w:eastAsiaTheme="majorEastAsia"/>
          <w:color w:val="000000" w:themeColor="text1"/>
          <w:lang w:eastAsia="en-US"/>
        </w:rPr>
      </w:pPr>
      <w:r w:rsidRPr="00A209C9">
        <w:rPr>
          <w:snapToGrid w:val="0"/>
          <w:color w:val="000000" w:themeColor="text1"/>
        </w:rPr>
        <w:t>W ten sposób cena brutto podana w złotych jest uważana za cenę ofertową i będzie brana pod uwagę przy ocenie ofert.</w:t>
      </w:r>
    </w:p>
    <w:p w14:paraId="1972C255"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Rozliczenia będą prowadzone w złotych polskich z dokładnością do dwóch miejsc po przecinku.</w:t>
      </w:r>
    </w:p>
    <w:p w14:paraId="6295F2B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p>
    <w:p w14:paraId="2D8E683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r w:rsidRPr="00A209C9">
        <w:rPr>
          <w:rFonts w:eastAsiaTheme="majorEastAsia"/>
          <w:bCs/>
          <w:color w:val="000000" w:themeColor="text1"/>
          <w:lang w:eastAsia="en-US"/>
        </w:rPr>
        <w:t>UWAGA</w:t>
      </w:r>
      <w:r w:rsidRPr="00A209C9">
        <w:rPr>
          <w:rFonts w:eastAsiaTheme="majorEastAsia"/>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4B421114" w14:textId="77777777" w:rsidR="00970482" w:rsidRPr="00A209C9" w:rsidRDefault="00970482" w:rsidP="00A209C9">
      <w:pPr>
        <w:spacing w:after="200"/>
        <w:jc w:val="both"/>
        <w:rPr>
          <w:rFonts w:eastAsiaTheme="majorEastAsia"/>
          <w:color w:val="000000" w:themeColor="text1"/>
          <w:lang w:eastAsia="en-US"/>
        </w:rPr>
      </w:pPr>
      <w:r w:rsidRPr="00A209C9">
        <w:rPr>
          <w:rFonts w:eastAsiaTheme="majorEastAsia"/>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E15E33F" w14:textId="77777777" w:rsidR="00AE0E6C" w:rsidRPr="001E0C18"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Tym samym, ceny jednostkowe, stanowiące podstawę do obliczenia ceny oferty, muszą być podane z dokładnością do dwóch miejsc po przecinku.</w:t>
      </w:r>
      <w:r w:rsidRPr="00A209C9">
        <w:rPr>
          <w:rFonts w:eastAsiaTheme="majorEastAsia"/>
          <w:b/>
          <w:color w:val="000000" w:themeColor="text1"/>
          <w:lang w:eastAsia="en-US"/>
        </w:rPr>
        <w:t xml:space="preserve"> </w:t>
      </w:r>
      <w:r w:rsidR="00AE0E6C" w:rsidRPr="001E0C18">
        <w:rPr>
          <w:rFonts w:eastAsiaTheme="majorEastAsia"/>
          <w:b/>
          <w:color w:val="000000" w:themeColor="text1"/>
          <w:lang w:eastAsia="en-US"/>
        </w:rPr>
        <w:t xml:space="preserve">Jeżeli oferta będzie zawierała ceny jednostkowe wyrażone jako wielkości matematyczne znajdujące się na trzecim i kolejnym miejscu po przecinku, </w:t>
      </w:r>
      <w:r w:rsidR="00AE0E6C">
        <w:rPr>
          <w:rFonts w:eastAsiaTheme="majorEastAsia"/>
          <w:b/>
          <w:color w:val="000000" w:themeColor="text1"/>
          <w:lang w:eastAsia="en-US"/>
        </w:rPr>
        <w:t>Zamawiający za cenę oferty przyjmie cenę do dwóch miejsc po przecinku. Wartości matematyczne znajdujące się na trzecim i kolejnym miejscu po przecinku zostaną pominięte.</w:t>
      </w:r>
    </w:p>
    <w:p w14:paraId="55417951" w14:textId="3E31F878" w:rsidR="00970482" w:rsidRPr="00A209C9"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Wykonawca zobowiązany jest zastosować stawkę VAT zgodnie z obowiązującymi przepisami ustawy z 11 marca 2004 r. o  podatku od towarów i usług.</w:t>
      </w:r>
    </w:p>
    <w:p w14:paraId="4BD804C6" w14:textId="285D66A1"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r w:rsidR="00675558" w:rsidRPr="00A209C9">
        <w:rPr>
          <w:rFonts w:eastAsiaTheme="majorEastAsia"/>
          <w:color w:val="000000" w:themeColor="text1"/>
          <w:lang w:eastAsia="en-US"/>
        </w:rPr>
        <w:t>.</w:t>
      </w:r>
    </w:p>
    <w:p w14:paraId="393BEC6F" w14:textId="3195D86E"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sidR="00675558" w:rsidRPr="00A209C9">
        <w:rPr>
          <w:rFonts w:eastAsiaTheme="majorEastAsia"/>
          <w:color w:val="000000" w:themeColor="text1"/>
          <w:lang w:eastAsia="en-US"/>
        </w:rPr>
        <w:t xml:space="preserve"> (cena ryczałtowa).</w:t>
      </w:r>
    </w:p>
    <w:p w14:paraId="4AEA2342"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Wykonawcy ponoszą wszelkie koszty związane z przygotowaniem i złożeniem oferty.</w:t>
      </w:r>
    </w:p>
    <w:p w14:paraId="13577904"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1DCA405C"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b/>
          <w:color w:val="000000" w:themeColor="text1"/>
          <w:lang w:eastAsia="en-US"/>
        </w:rPr>
        <w:t>Zgodnie z art. 225 ustawy Pzp jeżeli została złożona oferta, której wybór prowadziłby do powstania u zamawiającego obowiązku podatkowego zgodnie z ustawą z 11 marca</w:t>
      </w:r>
      <w:r w:rsidRPr="00A209C9">
        <w:rPr>
          <w:rFonts w:eastAsiaTheme="majorEastAsia"/>
          <w:color w:val="000000" w:themeColor="text1"/>
          <w:lang w:eastAsia="en-US"/>
        </w:rPr>
        <w:t xml:space="preserve"> 2004 r. o podatku od towarów i usług, dla celów zastosowania kryterium ceny lub kosztu </w:t>
      </w:r>
      <w:r w:rsidRPr="00A209C9">
        <w:rPr>
          <w:rFonts w:eastAsiaTheme="majorEastAsia"/>
          <w:color w:val="000000" w:themeColor="text1"/>
          <w:lang w:eastAsia="en-US"/>
        </w:rPr>
        <w:lastRenderedPageBreak/>
        <w:t>zamawiający dolicza do przedstawionej w tej ofercie ceny kwotę podatku od towarów i usług, którą miałby obowiązek rozliczyć. W takiej sytuacji wykonawca ma obowiązek:</w:t>
      </w:r>
    </w:p>
    <w:p w14:paraId="7313BBD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1) poinformowania zamawiającego, że wybór jego oferty będzie prowadził do powstania u zamawiającego obowiązku podatkowego;</w:t>
      </w:r>
    </w:p>
    <w:p w14:paraId="571A570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2) wskazania nazwy (rodzaju) towaru lub usługi, których dostawa lub świadczenie będą prowadziły do powstania obowiązku podatkowego;</w:t>
      </w:r>
    </w:p>
    <w:p w14:paraId="2889E0FE"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3) wskazania wartości towaru lub usługi objętego obowiązkiem podatkowym zamawiającego, bez kwoty podatku;</w:t>
      </w:r>
    </w:p>
    <w:p w14:paraId="4C893941"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4) wskazania stawki podatku od towarów i usług, która zgodnie z wiedzą wykonawcy, będzie miała zastosowanie.</w:t>
      </w:r>
    </w:p>
    <w:p w14:paraId="475821FB" w14:textId="0F517F99" w:rsidR="00EB7EB9" w:rsidRPr="00A209C9" w:rsidRDefault="00FF5F28">
      <w:pPr>
        <w:numPr>
          <w:ilvl w:val="3"/>
          <w:numId w:val="25"/>
        </w:numPr>
        <w:spacing w:after="200" w:line="252" w:lineRule="auto"/>
        <w:ind w:left="284"/>
        <w:contextualSpacing/>
        <w:jc w:val="both"/>
        <w:rPr>
          <w:rFonts w:eastAsiaTheme="majorEastAsia"/>
          <w:lang w:eastAsia="en-US"/>
        </w:rPr>
      </w:pPr>
      <w:r w:rsidRPr="00A209C9">
        <w:rPr>
          <w:rFonts w:eastAsiaTheme="majorEastAsia"/>
          <w:lang w:eastAsia="en-US"/>
        </w:rPr>
        <w:t>Inf</w:t>
      </w:r>
      <w:r w:rsidR="00B2342A" w:rsidRPr="00A209C9">
        <w:rPr>
          <w:rFonts w:eastAsiaTheme="majorEastAsia"/>
          <w:lang w:eastAsia="en-US"/>
        </w:rPr>
        <w:t>ormację w powyższym zakresie w</w:t>
      </w:r>
      <w:r w:rsidRPr="00A209C9">
        <w:rPr>
          <w:rFonts w:eastAsiaTheme="majorEastAsia"/>
          <w:lang w:eastAsia="en-US"/>
        </w:rPr>
        <w:t>ykonawca składa w załącznik</w:t>
      </w:r>
      <w:r w:rsidR="005E574E" w:rsidRPr="00A209C9">
        <w:rPr>
          <w:rFonts w:eastAsiaTheme="majorEastAsia"/>
          <w:lang w:eastAsia="en-US"/>
        </w:rPr>
        <w:t>u</w:t>
      </w:r>
      <w:r w:rsidRPr="00A209C9">
        <w:rPr>
          <w:rFonts w:eastAsiaTheme="majorEastAsia"/>
          <w:lang w:eastAsia="en-US"/>
        </w:rPr>
        <w:t xml:space="preserve"> nr </w:t>
      </w:r>
      <w:r w:rsidR="0063334B" w:rsidRPr="00A209C9">
        <w:rPr>
          <w:rFonts w:eastAsiaTheme="majorEastAsia"/>
          <w:lang w:eastAsia="en-US"/>
        </w:rPr>
        <w:t>3</w:t>
      </w:r>
      <w:r w:rsidR="000778FB" w:rsidRPr="00A209C9">
        <w:rPr>
          <w:rFonts w:eastAsiaTheme="majorEastAsia"/>
          <w:lang w:eastAsia="en-US"/>
        </w:rPr>
        <w:t xml:space="preserve"> do S</w:t>
      </w:r>
      <w:r w:rsidRPr="00A209C9">
        <w:rPr>
          <w:rFonts w:eastAsiaTheme="majorEastAsia"/>
          <w:lang w:eastAsia="en-US"/>
        </w:rPr>
        <w:t>WZ</w:t>
      </w:r>
      <w:r w:rsidR="005E574E" w:rsidRPr="00A209C9">
        <w:rPr>
          <w:rFonts w:eastAsiaTheme="majorEastAsia"/>
          <w:lang w:eastAsia="en-US"/>
        </w:rPr>
        <w:t xml:space="preserve"> </w:t>
      </w:r>
      <w:r w:rsidR="005E574E" w:rsidRPr="00A209C9">
        <w:rPr>
          <w:rFonts w:eastAsiaTheme="majorEastAsia"/>
          <w:lang w:eastAsia="en-US"/>
        </w:rPr>
        <w:sym w:font="Wingdings" w:char="F0E0"/>
      </w:r>
      <w:r w:rsidR="00B2342A" w:rsidRPr="00A209C9">
        <w:rPr>
          <w:rFonts w:eastAsiaTheme="majorEastAsia"/>
          <w:lang w:eastAsia="en-US"/>
        </w:rPr>
        <w:t xml:space="preserve"> Informacja o w</w:t>
      </w:r>
      <w:r w:rsidR="005E574E" w:rsidRPr="00A209C9">
        <w:rPr>
          <w:rFonts w:eastAsiaTheme="majorEastAsia"/>
          <w:lang w:eastAsia="en-US"/>
        </w:rPr>
        <w:t>ykonawcy</w:t>
      </w:r>
      <w:r w:rsidRPr="00A209C9">
        <w:rPr>
          <w:rFonts w:eastAsiaTheme="majorEastAsia"/>
          <w:lang w:eastAsia="en-US"/>
        </w:rPr>
        <w:t xml:space="preserve">. </w:t>
      </w:r>
      <w:r w:rsidR="00884A69" w:rsidRPr="00A209C9">
        <w:rPr>
          <w:rFonts w:eastAsiaTheme="majorEastAsia"/>
          <w:lang w:eastAsia="en-US"/>
        </w:rPr>
        <w:t>Brak złożenia ww. informacji będzie postrzegany jako brak pow</w:t>
      </w:r>
      <w:r w:rsidR="00B2342A" w:rsidRPr="00A209C9">
        <w:rPr>
          <w:rFonts w:eastAsiaTheme="majorEastAsia"/>
          <w:lang w:eastAsia="en-US"/>
        </w:rPr>
        <w:t>stania obowiązku podatkowego u z</w:t>
      </w:r>
      <w:r w:rsidR="00884A69" w:rsidRPr="00A209C9">
        <w:rPr>
          <w:rFonts w:eastAsiaTheme="majorEastAsia"/>
          <w:lang w:eastAsia="en-US"/>
        </w:rPr>
        <w:t>amawiającego.</w:t>
      </w:r>
      <w:bookmarkStart w:id="5" w:name="bookmark28"/>
    </w:p>
    <w:p w14:paraId="0E8A41FE" w14:textId="77777777" w:rsidR="00B2342A" w:rsidRPr="00A209C9" w:rsidRDefault="00B2342A" w:rsidP="00A209C9">
      <w:pPr>
        <w:spacing w:after="200" w:line="252" w:lineRule="auto"/>
        <w:ind w:left="284"/>
        <w:contextualSpacing/>
        <w:jc w:val="both"/>
        <w:rPr>
          <w:rFonts w:eastAsiaTheme="majorEastAsia"/>
          <w:lang w:eastAsia="en-US"/>
        </w:rPr>
      </w:pPr>
    </w:p>
    <w:bookmarkEnd w:id="5"/>
    <w:p w14:paraId="7C47370C" w14:textId="1EF232C7" w:rsidR="00EC45FB" w:rsidRPr="00A209C9" w:rsidRDefault="00EB7EB9">
      <w:pPr>
        <w:numPr>
          <w:ilvl w:val="0"/>
          <w:numId w:val="33"/>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0EB9C099" w14:textId="09E02DA9" w:rsidR="00FA4F5A" w:rsidRPr="00A209C9" w:rsidRDefault="00FA4F5A">
      <w:pPr>
        <w:numPr>
          <w:ilvl w:val="0"/>
          <w:numId w:val="32"/>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w:t>
      </w:r>
      <w:r w:rsidR="00F25B22" w:rsidRPr="00F25B22">
        <w:rPr>
          <w:rFonts w:eastAsiaTheme="majorEastAsia"/>
          <w:b/>
          <w:color w:val="FF0000"/>
          <w:lang w:eastAsia="en-US"/>
        </w:rPr>
        <w:t>https://platformazakupowa.pl/transakcja/900081</w:t>
      </w:r>
    </w:p>
    <w:p w14:paraId="071E6B2D" w14:textId="77777777" w:rsidR="00FA4F5A" w:rsidRPr="00A209C9" w:rsidRDefault="00FA4F5A">
      <w:pPr>
        <w:numPr>
          <w:ilvl w:val="0"/>
          <w:numId w:val="32"/>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35025CAA" w14:textId="77777777" w:rsidR="00FA4F5A" w:rsidRPr="00A209C9" w:rsidRDefault="00FA4F5A" w:rsidP="00FA4F5A">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36A9ABE4" w14:textId="77777777" w:rsidR="00FA4F5A" w:rsidRPr="00A209C9" w:rsidRDefault="00FA4F5A">
      <w:pPr>
        <w:numPr>
          <w:ilvl w:val="0"/>
          <w:numId w:val="32"/>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26342445" w14:textId="77777777" w:rsidR="00FA4F5A" w:rsidRPr="00A209C9" w:rsidRDefault="00FA4F5A">
      <w:pPr>
        <w:numPr>
          <w:ilvl w:val="0"/>
          <w:numId w:val="32"/>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396027C2" w14:textId="77777777" w:rsidR="00FA4F5A" w:rsidRPr="00A209C9" w:rsidRDefault="00FA4F5A">
      <w:pPr>
        <w:numPr>
          <w:ilvl w:val="0"/>
          <w:numId w:val="32"/>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8E21C43" w14:textId="77777777" w:rsidR="00FA4F5A" w:rsidRPr="00A209C9" w:rsidRDefault="00FA4F5A">
      <w:pPr>
        <w:numPr>
          <w:ilvl w:val="1"/>
          <w:numId w:val="31"/>
        </w:numPr>
        <w:jc w:val="both"/>
      </w:pPr>
      <w:r w:rsidRPr="00A209C9">
        <w:t>stały dostęp do sieci Internet o gwarantowanej przepustowości nie mniejszej niż 512 kb/s,</w:t>
      </w:r>
    </w:p>
    <w:p w14:paraId="55630790" w14:textId="77777777" w:rsidR="00FA4F5A" w:rsidRPr="00A209C9" w:rsidRDefault="00FA4F5A">
      <w:pPr>
        <w:numPr>
          <w:ilvl w:val="1"/>
          <w:numId w:val="31"/>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5325F541" w14:textId="77777777" w:rsidR="00FA4F5A" w:rsidRPr="00A209C9" w:rsidRDefault="00FA4F5A">
      <w:pPr>
        <w:numPr>
          <w:ilvl w:val="1"/>
          <w:numId w:val="31"/>
        </w:numPr>
        <w:jc w:val="both"/>
      </w:pPr>
      <w:r w:rsidRPr="00A209C9">
        <w:lastRenderedPageBreak/>
        <w:t xml:space="preserve">zainstalowana dowolna przeglądarka </w:t>
      </w:r>
    </w:p>
    <w:p w14:paraId="723EA590" w14:textId="77777777" w:rsidR="00FA4F5A" w:rsidRPr="00A209C9" w:rsidRDefault="00FA4F5A">
      <w:pPr>
        <w:numPr>
          <w:ilvl w:val="1"/>
          <w:numId w:val="31"/>
        </w:numPr>
        <w:jc w:val="both"/>
      </w:pPr>
      <w:r w:rsidRPr="00A209C9">
        <w:t>włączona obsługa JavaScript,</w:t>
      </w:r>
    </w:p>
    <w:p w14:paraId="6862752E" w14:textId="77777777" w:rsidR="00FA4F5A" w:rsidRPr="00A209C9" w:rsidRDefault="00FA4F5A">
      <w:pPr>
        <w:numPr>
          <w:ilvl w:val="1"/>
          <w:numId w:val="31"/>
        </w:numPr>
        <w:jc w:val="both"/>
      </w:pPr>
      <w:r w:rsidRPr="00A209C9">
        <w:t>zainstalowany program Adobe Acrobat Reader lub inny obsługujący format plików .pdf,</w:t>
      </w:r>
    </w:p>
    <w:p w14:paraId="243646E5" w14:textId="77777777" w:rsidR="00FA4F5A" w:rsidRPr="00A209C9" w:rsidRDefault="00FA4F5A">
      <w:pPr>
        <w:numPr>
          <w:ilvl w:val="1"/>
          <w:numId w:val="31"/>
        </w:numPr>
        <w:jc w:val="both"/>
      </w:pPr>
      <w:r w:rsidRPr="00A209C9">
        <w:t>Platformazakupowa.pl działa według standardu przyjętego w komunikacji sieciowej - kodowanie UTF8,</w:t>
      </w:r>
    </w:p>
    <w:p w14:paraId="514A8938" w14:textId="77777777" w:rsidR="00FA4F5A" w:rsidRPr="00A209C9" w:rsidRDefault="00FA4F5A">
      <w:pPr>
        <w:numPr>
          <w:ilvl w:val="1"/>
          <w:numId w:val="31"/>
        </w:numPr>
        <w:jc w:val="both"/>
      </w:pPr>
      <w:r w:rsidRPr="00A209C9">
        <w:t>Oznaczenie czasu odbioru danych przez platformę zakupową stanowi datę oraz dokładny czas (hh:mm:ss) generowany wg. czasu lokalnego serwera synchronizowanego z zegarem Głównego Urzędu Miar.</w:t>
      </w:r>
    </w:p>
    <w:p w14:paraId="337F14DE" w14:textId="77777777" w:rsidR="00FA4F5A" w:rsidRPr="00A209C9" w:rsidRDefault="00FA4F5A">
      <w:pPr>
        <w:numPr>
          <w:ilvl w:val="0"/>
          <w:numId w:val="32"/>
        </w:numPr>
        <w:pBdr>
          <w:top w:val="nil"/>
          <w:left w:val="nil"/>
          <w:bottom w:val="nil"/>
          <w:right w:val="nil"/>
          <w:between w:val="nil"/>
        </w:pBdr>
        <w:jc w:val="both"/>
      </w:pPr>
      <w:r w:rsidRPr="00A209C9">
        <w:t>Wykonawca, przystępując do niniejszego postępowania o udzielenie zamówienia publicznego:</w:t>
      </w:r>
    </w:p>
    <w:p w14:paraId="2D50553A" w14:textId="77777777" w:rsidR="00FA4F5A" w:rsidRPr="00A209C9" w:rsidRDefault="00FA4F5A">
      <w:pPr>
        <w:numPr>
          <w:ilvl w:val="1"/>
          <w:numId w:val="31"/>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7DE25DF8" w14:textId="77777777" w:rsidR="00FA4F5A" w:rsidRPr="00A209C9" w:rsidRDefault="00FA4F5A">
      <w:pPr>
        <w:numPr>
          <w:ilvl w:val="1"/>
          <w:numId w:val="31"/>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703BF35E" w14:textId="77777777" w:rsidR="00FA4F5A" w:rsidRPr="00A209C9" w:rsidRDefault="00FA4F5A">
      <w:pPr>
        <w:numPr>
          <w:ilvl w:val="0"/>
          <w:numId w:val="32"/>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P.z.p.</w:t>
      </w:r>
    </w:p>
    <w:p w14:paraId="46F45C27" w14:textId="77777777" w:rsidR="00FA4F5A" w:rsidRPr="00A209C9" w:rsidRDefault="00FA4F5A">
      <w:pPr>
        <w:numPr>
          <w:ilvl w:val="0"/>
          <w:numId w:val="32"/>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27801983" w14:textId="77777777" w:rsidR="00FA4F5A" w:rsidRPr="00A209C9" w:rsidRDefault="00FA4F5A">
      <w:pPr>
        <w:pStyle w:val="Akapitzlist"/>
        <w:numPr>
          <w:ilvl w:val="0"/>
          <w:numId w:val="32"/>
        </w:numPr>
        <w:jc w:val="both"/>
      </w:pPr>
      <w:r w:rsidRPr="00A209C9">
        <w:t xml:space="preserve">Osoby wskazane do porozumiewania się z wykonawcami </w:t>
      </w:r>
    </w:p>
    <w:p w14:paraId="785F8C28" w14:textId="77777777" w:rsidR="00FA4F5A" w:rsidRPr="00A209C9" w:rsidRDefault="00FA4F5A">
      <w:pPr>
        <w:pStyle w:val="Tekstpodstawowy"/>
        <w:numPr>
          <w:ilvl w:val="0"/>
          <w:numId w:val="12"/>
        </w:numPr>
        <w:tabs>
          <w:tab w:val="left" w:pos="762"/>
        </w:tabs>
        <w:spacing w:before="120" w:after="0"/>
        <w:ind w:right="20"/>
        <w:jc w:val="both"/>
        <w:rPr>
          <w:b/>
        </w:rPr>
      </w:pPr>
      <w:r w:rsidRPr="00A209C9">
        <w:rPr>
          <w:b/>
        </w:rPr>
        <w:t>w zakresie dotyczącym przedmiotu zamówienia:</w:t>
      </w:r>
    </w:p>
    <w:p w14:paraId="0490C502" w14:textId="71278BE8" w:rsidR="00FA4F5A" w:rsidRPr="00A209C9" w:rsidRDefault="00397F46" w:rsidP="00FA4F5A">
      <w:pPr>
        <w:pStyle w:val="Tekstpodstawowy"/>
        <w:tabs>
          <w:tab w:val="left" w:pos="762"/>
        </w:tabs>
        <w:spacing w:before="120" w:after="0"/>
        <w:ind w:left="786" w:right="20"/>
        <w:jc w:val="both"/>
        <w:rPr>
          <w:color w:val="000000" w:themeColor="text1"/>
        </w:rPr>
      </w:pPr>
      <w:r>
        <w:rPr>
          <w:color w:val="000000" w:themeColor="text1"/>
        </w:rPr>
        <w:t>Waldemar Dubrawski</w:t>
      </w:r>
    </w:p>
    <w:p w14:paraId="40E2958C" w14:textId="77777777"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4F900210" w14:textId="77777777" w:rsidR="00FA4F5A" w:rsidRPr="00A209C9" w:rsidRDefault="00FA4F5A">
      <w:pPr>
        <w:pStyle w:val="Tekstpodstawowy"/>
        <w:numPr>
          <w:ilvl w:val="0"/>
          <w:numId w:val="12"/>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62ABF05C" w14:textId="6143934B"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 xml:space="preserve">Ewa </w:t>
      </w:r>
      <w:r w:rsidR="00C86F14">
        <w:rPr>
          <w:color w:val="000000" w:themeColor="text1"/>
        </w:rPr>
        <w:t>Wojciechowska</w:t>
      </w:r>
    </w:p>
    <w:p w14:paraId="7930DD60" w14:textId="77777777" w:rsidR="00FA4F5A"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w:t>
      </w:r>
      <w:r>
        <w:rPr>
          <w:color w:val="000000" w:themeColor="text1"/>
        </w:rPr>
        <w:t>3</w:t>
      </w:r>
    </w:p>
    <w:p w14:paraId="131D4765" w14:textId="77777777" w:rsidR="003C7B82" w:rsidRPr="00A209C9" w:rsidRDefault="003C7B82" w:rsidP="00A209C9">
      <w:pPr>
        <w:tabs>
          <w:tab w:val="left" w:pos="284"/>
        </w:tabs>
        <w:jc w:val="both"/>
      </w:pPr>
    </w:p>
    <w:p w14:paraId="3714706E" w14:textId="713771D8" w:rsidR="000778FB" w:rsidRPr="00A209C9" w:rsidRDefault="00545239">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73B654A9" w:rsidR="00970482" w:rsidRPr="00A209C9" w:rsidRDefault="00970482">
      <w:pPr>
        <w:numPr>
          <w:ilvl w:val="1"/>
          <w:numId w:val="13"/>
        </w:numPr>
        <w:ind w:left="431" w:right="-108"/>
        <w:jc w:val="both"/>
      </w:pPr>
      <w:r w:rsidRPr="00A209C9">
        <w:t>Ofertę należy z</w:t>
      </w:r>
      <w:r w:rsidR="0063334B" w:rsidRPr="00A209C9">
        <w:t>łożyć w terminie do dnia</w:t>
      </w:r>
      <w:r w:rsidR="00582A48">
        <w:t xml:space="preserve"> </w:t>
      </w:r>
      <w:r w:rsidR="00F25B22">
        <w:rPr>
          <w:b/>
        </w:rPr>
        <w:t xml:space="preserve">26.03.2024 </w:t>
      </w:r>
      <w:r w:rsidR="00582A48">
        <w:t>roku</w:t>
      </w:r>
      <w:r w:rsidRPr="00A209C9">
        <w:t xml:space="preserve"> do godz. </w:t>
      </w:r>
      <w:r w:rsidR="004E3152">
        <w:t>1</w:t>
      </w:r>
      <w:r w:rsidR="00F25B22">
        <w:t>2</w:t>
      </w:r>
      <w:r w:rsidR="00FA4F5A">
        <w:t>:</w:t>
      </w:r>
      <w:r w:rsidRPr="00A209C9">
        <w:t>00</w:t>
      </w:r>
    </w:p>
    <w:p w14:paraId="1723A025" w14:textId="77777777" w:rsidR="00970482" w:rsidRPr="00A209C9" w:rsidRDefault="00970482">
      <w:pPr>
        <w:pStyle w:val="Akapitzlist"/>
        <w:numPr>
          <w:ilvl w:val="1"/>
          <w:numId w:val="13"/>
        </w:numPr>
        <w:ind w:right="-108"/>
        <w:jc w:val="both"/>
      </w:pPr>
      <w:r w:rsidRPr="00A209C9">
        <w:t>Sposób składania ofert: za pośrednictwem Platformy</w:t>
      </w:r>
    </w:p>
    <w:p w14:paraId="4CC358D9" w14:textId="66193DD4" w:rsidR="00970482" w:rsidRPr="00A209C9" w:rsidRDefault="00970482">
      <w:pPr>
        <w:pStyle w:val="Akapitzlist"/>
        <w:numPr>
          <w:ilvl w:val="1"/>
          <w:numId w:val="13"/>
        </w:numPr>
        <w:jc w:val="both"/>
      </w:pPr>
      <w:r w:rsidRPr="00A209C9">
        <w:t>Otwarcie ofert nastąpi w dn</w:t>
      </w:r>
      <w:r w:rsidR="0063334B" w:rsidRPr="00A209C9">
        <w:t>iu</w:t>
      </w:r>
      <w:r w:rsidR="00E10B4D">
        <w:t xml:space="preserve"> </w:t>
      </w:r>
      <w:r w:rsidR="00F25B22">
        <w:rPr>
          <w:b/>
        </w:rPr>
        <w:t>26.03.2024 r</w:t>
      </w:r>
      <w:r w:rsidR="00582A48" w:rsidRPr="00A209C9">
        <w:t xml:space="preserve">  </w:t>
      </w:r>
      <w:r w:rsidR="006760D8" w:rsidRPr="00A209C9">
        <w:t xml:space="preserve">roku </w:t>
      </w:r>
      <w:r w:rsidR="0063334B" w:rsidRPr="00A209C9">
        <w:t xml:space="preserve"> o godz. </w:t>
      </w:r>
      <w:r w:rsidR="004E3152">
        <w:t>1</w:t>
      </w:r>
      <w:r w:rsidR="00F25B22">
        <w:t>2</w:t>
      </w:r>
      <w:r w:rsidR="004E3152">
        <w:t>:</w:t>
      </w:r>
      <w:r w:rsidRPr="00A209C9">
        <w:t>0</w:t>
      </w:r>
      <w:r w:rsidR="00F25B22">
        <w:t>5</w:t>
      </w:r>
      <w:r w:rsidRPr="00A209C9">
        <w:t xml:space="preserve"> poprzez odszyfrowanie wczytanych na Platformie ofert.</w:t>
      </w:r>
    </w:p>
    <w:p w14:paraId="7D345984" w14:textId="77777777" w:rsidR="00970482" w:rsidRPr="00A209C9" w:rsidRDefault="00970482">
      <w:pPr>
        <w:numPr>
          <w:ilvl w:val="1"/>
          <w:numId w:val="13"/>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pPr>
        <w:numPr>
          <w:ilvl w:val="1"/>
          <w:numId w:val="13"/>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lastRenderedPageBreak/>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Pr="00A209C9" w:rsidRDefault="00545239" w:rsidP="00A209C9">
      <w:pPr>
        <w:ind w:right="-108"/>
        <w:jc w:val="both"/>
      </w:pPr>
    </w:p>
    <w:p w14:paraId="24930077" w14:textId="77777777" w:rsidR="00DB1A25" w:rsidRPr="00A209C9" w:rsidRDefault="00DB1A2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25FCB00F"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F25B22">
        <w:rPr>
          <w:b/>
          <w:bCs/>
        </w:rPr>
        <w:t xml:space="preserve">29.04.2024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14A96023" w14:textId="77777777" w:rsidR="00E10B4D" w:rsidRPr="00A209C9" w:rsidRDefault="00024AF6" w:rsidP="00E10B4D">
      <w:pPr>
        <w:spacing w:before="240"/>
        <w:ind w:right="-108"/>
        <w:jc w:val="both"/>
      </w:pPr>
      <w:r w:rsidRPr="00A209C9">
        <w:br/>
      </w:r>
      <w:r w:rsidR="00970482" w:rsidRPr="00A209C9">
        <w:rPr>
          <w:color w:val="000000" w:themeColor="text1"/>
        </w:rPr>
        <w:br/>
      </w:r>
      <w:r w:rsidR="00E10B4D" w:rsidRPr="00A209C9">
        <w:t>Przy wyborze najkorzystniejszej oferty zamawiający będzie kierował się następującymi kryteriami i odpowiadającymi im znaczeniami oraz w następujący sposób będzie oceniał spełnienie kryteriów:</w:t>
      </w:r>
    </w:p>
    <w:p w14:paraId="40D9D530" w14:textId="77777777" w:rsidR="00E10B4D" w:rsidRPr="00A209C9" w:rsidRDefault="00E10B4D" w:rsidP="00E10B4D">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E10B4D" w:rsidRPr="00A209C9" w14:paraId="5891A1A4" w14:textId="77777777" w:rsidTr="003B20B9">
        <w:trPr>
          <w:trHeight w:val="505"/>
          <w:jc w:val="center"/>
        </w:trPr>
        <w:tc>
          <w:tcPr>
            <w:tcW w:w="703" w:type="dxa"/>
          </w:tcPr>
          <w:p w14:paraId="7FD46E4C"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13984DFA" w14:textId="77777777" w:rsidR="00E10B4D" w:rsidRPr="00A209C9" w:rsidRDefault="00E10B4D" w:rsidP="003B20B9">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4F426BE"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357F2655" w14:textId="77777777" w:rsidR="00E10B4D" w:rsidRPr="00A209C9" w:rsidRDefault="00E10B4D" w:rsidP="003B20B9">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9EE6684"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79DFB569"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163F66B9" w14:textId="77777777" w:rsidR="00E10B4D" w:rsidRPr="00A209C9" w:rsidRDefault="00E10B4D" w:rsidP="003B20B9">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1954782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E10B4D" w:rsidRPr="00A209C9" w14:paraId="20EAAE16" w14:textId="77777777" w:rsidTr="003B20B9">
        <w:trPr>
          <w:trHeight w:val="505"/>
          <w:jc w:val="center"/>
        </w:trPr>
        <w:tc>
          <w:tcPr>
            <w:tcW w:w="703" w:type="dxa"/>
            <w:vAlign w:val="center"/>
          </w:tcPr>
          <w:p w14:paraId="65F302FE"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36C6B22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7FAC4605"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0F072A3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E10B4D" w:rsidRPr="00A209C9" w14:paraId="58614EDB" w14:textId="77777777" w:rsidTr="003B20B9">
        <w:trPr>
          <w:trHeight w:val="505"/>
          <w:jc w:val="center"/>
        </w:trPr>
        <w:tc>
          <w:tcPr>
            <w:tcW w:w="703" w:type="dxa"/>
            <w:vAlign w:val="center"/>
          </w:tcPr>
          <w:p w14:paraId="6625476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3F300F5B"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31C9FBF6"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2CD3E768"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281B0BBD" w14:textId="77777777" w:rsidR="00E10B4D" w:rsidRPr="00A209C9" w:rsidRDefault="00E10B4D" w:rsidP="00E10B4D">
      <w:pPr>
        <w:pStyle w:val="Tekstpodstawowy"/>
        <w:spacing w:before="2"/>
        <w:jc w:val="both"/>
      </w:pPr>
    </w:p>
    <w:p w14:paraId="309E25E1" w14:textId="77777777" w:rsidR="00E10B4D" w:rsidRPr="00A209C9" w:rsidRDefault="00E10B4D" w:rsidP="00E10B4D">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3E2008DF" w14:textId="77777777" w:rsidR="00E10B4D" w:rsidRPr="00A209C9" w:rsidRDefault="00E10B4D" w:rsidP="00E10B4D">
      <w:pPr>
        <w:pStyle w:val="Tekstpodstawowy"/>
        <w:spacing w:before="1"/>
        <w:jc w:val="both"/>
        <w:rPr>
          <w:b/>
        </w:rPr>
      </w:pPr>
    </w:p>
    <w:p w14:paraId="6E012E92" w14:textId="77777777" w:rsidR="00E10B4D" w:rsidRPr="00A209C9" w:rsidRDefault="00E10B4D" w:rsidP="00E10B4D">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3E6495E5" w14:textId="77777777" w:rsidR="00E10B4D" w:rsidRPr="00A209C9" w:rsidRDefault="00E10B4D" w:rsidP="00E10B4D">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33D73999" w14:textId="77777777" w:rsidR="00E10B4D" w:rsidRPr="00A209C9" w:rsidRDefault="00E10B4D" w:rsidP="00E10B4D">
      <w:pPr>
        <w:pStyle w:val="Tekstpodstawowy"/>
        <w:spacing w:before="10"/>
        <w:jc w:val="both"/>
        <w:rPr>
          <w:b/>
        </w:rPr>
      </w:pPr>
    </w:p>
    <w:p w14:paraId="62C98064" w14:textId="77777777" w:rsidR="00E10B4D" w:rsidRPr="00A209C9" w:rsidRDefault="00E10B4D" w:rsidP="00E10B4D">
      <w:pPr>
        <w:spacing w:before="94"/>
        <w:ind w:left="356"/>
        <w:jc w:val="both"/>
        <w:rPr>
          <w:b/>
        </w:rPr>
      </w:pPr>
      <w:r w:rsidRPr="00A209C9">
        <w:t xml:space="preserve">W kryterium cena oferty (C) </w:t>
      </w:r>
      <w:r w:rsidRPr="00A209C9">
        <w:rPr>
          <w:b/>
        </w:rPr>
        <w:t>największą liczbę punktów uzyska oferta z najniższą ceną (brutto).</w:t>
      </w:r>
    </w:p>
    <w:p w14:paraId="674F660D" w14:textId="77777777" w:rsidR="00E10B4D" w:rsidRDefault="00E10B4D" w:rsidP="00E10B4D">
      <w:pPr>
        <w:pStyle w:val="Tekstpodstawowy"/>
        <w:spacing w:before="31" w:line="538" w:lineRule="exact"/>
        <w:ind w:left="3969" w:hanging="3733"/>
        <w:jc w:val="both"/>
      </w:pPr>
      <w:r w:rsidRPr="00A209C9">
        <w:t>Ocena ofert w tym kryterium zostanie przeprowadzona w oparciu o poniższy wzór:</w:t>
      </w:r>
    </w:p>
    <w:p w14:paraId="6C0AE5E0" w14:textId="77777777" w:rsidR="00E10B4D" w:rsidRDefault="00E10B4D" w:rsidP="00E10B4D">
      <w:pPr>
        <w:pStyle w:val="Tekstpodstawowy"/>
        <w:spacing w:before="31" w:line="538" w:lineRule="exact"/>
        <w:ind w:left="3969" w:hanging="567"/>
        <w:jc w:val="both"/>
      </w:pPr>
      <w:r>
        <w:t>C</w:t>
      </w:r>
      <w:r w:rsidRPr="00A209C9">
        <w:rPr>
          <w:vertAlign w:val="subscript"/>
        </w:rPr>
        <w:t>min</w:t>
      </w:r>
    </w:p>
    <w:p w14:paraId="7921A474" w14:textId="77777777" w:rsidR="00E10B4D" w:rsidRDefault="00E10B4D" w:rsidP="00E10B4D">
      <w:pPr>
        <w:pStyle w:val="Tekstpodstawowy"/>
        <w:spacing w:before="31" w:line="538" w:lineRule="exact"/>
        <w:ind w:left="3969" w:hanging="3733"/>
        <w:jc w:val="both"/>
      </w:pPr>
      <w:r>
        <w:t>Wartość punktowa = ---------------------------------------- x Max (C)</w:t>
      </w:r>
      <w:r w:rsidRPr="00A209C9">
        <w:t xml:space="preserve"> </w:t>
      </w:r>
    </w:p>
    <w:p w14:paraId="1AAEED81" w14:textId="77777777" w:rsidR="00E10B4D" w:rsidRDefault="00E10B4D" w:rsidP="00E10B4D">
      <w:pPr>
        <w:pStyle w:val="Tekstpodstawowy"/>
        <w:spacing w:before="31" w:line="538" w:lineRule="exact"/>
        <w:ind w:left="3969" w:hanging="567"/>
        <w:jc w:val="both"/>
      </w:pPr>
      <w:r>
        <w:t>C</w:t>
      </w:r>
      <w:r w:rsidRPr="00A209C9">
        <w:rPr>
          <w:vertAlign w:val="subscript"/>
        </w:rPr>
        <w:t>bad</w:t>
      </w:r>
    </w:p>
    <w:p w14:paraId="43DA2EFA" w14:textId="77777777" w:rsidR="00E10B4D" w:rsidRPr="00A209C9" w:rsidRDefault="00E10B4D" w:rsidP="00E10B4D">
      <w:pPr>
        <w:pStyle w:val="Tekstpodstawowy"/>
        <w:spacing w:line="247" w:lineRule="exact"/>
        <w:ind w:left="356"/>
        <w:jc w:val="both"/>
      </w:pPr>
      <w:r w:rsidRPr="00A209C9">
        <w:t>gdzie:</w:t>
      </w:r>
    </w:p>
    <w:p w14:paraId="244900BE" w14:textId="77777777" w:rsidR="00E10B4D" w:rsidRPr="00A209C9" w:rsidRDefault="00E10B4D" w:rsidP="00E10B4D">
      <w:pPr>
        <w:pStyle w:val="Tekstpodstawowy"/>
        <w:spacing w:before="1"/>
        <w:ind w:left="356" w:right="4172"/>
        <w:jc w:val="both"/>
      </w:pPr>
      <w:r w:rsidRPr="00A209C9">
        <w:lastRenderedPageBreak/>
        <w:t>C</w:t>
      </w:r>
      <w:r w:rsidRPr="00A209C9">
        <w:rPr>
          <w:vertAlign w:val="subscript"/>
        </w:rPr>
        <w:t>min</w:t>
      </w:r>
      <w:r w:rsidRPr="00A209C9">
        <w:t xml:space="preserve"> - cena brutto najniższa spośród wszystkich ofert C</w:t>
      </w:r>
      <w:r w:rsidRPr="00A209C9">
        <w:rPr>
          <w:vertAlign w:val="subscript"/>
        </w:rPr>
        <w:t>bad</w:t>
      </w:r>
      <w:r w:rsidRPr="00A209C9">
        <w:t xml:space="preserve"> - cena brutto podana w ofercie badanej</w:t>
      </w:r>
    </w:p>
    <w:p w14:paraId="1FAE3D49" w14:textId="77777777" w:rsidR="00E10B4D" w:rsidRPr="00A209C9" w:rsidRDefault="00E10B4D" w:rsidP="00E10B4D">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7A71DF33" w14:textId="77777777" w:rsidR="00E10B4D" w:rsidRPr="00A209C9" w:rsidRDefault="00E10B4D" w:rsidP="00E10B4D">
      <w:pPr>
        <w:pStyle w:val="Tekstpodstawowy"/>
        <w:spacing w:before="8"/>
        <w:jc w:val="both"/>
      </w:pPr>
    </w:p>
    <w:p w14:paraId="7D8CA4E1" w14:textId="77777777" w:rsidR="00E10B4D" w:rsidRPr="00A209C9" w:rsidRDefault="00E10B4D" w:rsidP="00E10B4D">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179E4799" w14:textId="77777777" w:rsidR="00E10B4D" w:rsidRPr="00A209C9" w:rsidRDefault="00E10B4D" w:rsidP="00E10B4D">
      <w:pPr>
        <w:pStyle w:val="Tekstpodstawowy"/>
        <w:jc w:val="both"/>
        <w:rPr>
          <w:b/>
        </w:rPr>
      </w:pPr>
    </w:p>
    <w:p w14:paraId="2E2D75CD" w14:textId="77777777" w:rsidR="00E10B4D" w:rsidRPr="00A209C9" w:rsidRDefault="00E10B4D" w:rsidP="00E10B4D">
      <w:pPr>
        <w:pStyle w:val="Tekstpodstawowy"/>
        <w:spacing w:before="93"/>
        <w:ind w:left="356" w:right="905"/>
        <w:jc w:val="both"/>
      </w:pPr>
      <w:r w:rsidRPr="00A209C9">
        <w:t>W kryterium wydłużenie okresu gwarancji i rękojmi zostanie zastosowana następująca punktacja:</w:t>
      </w:r>
    </w:p>
    <w:p w14:paraId="210CFC50" w14:textId="77777777" w:rsidR="00E10B4D" w:rsidRPr="00A209C9" w:rsidRDefault="00E10B4D" w:rsidP="00E10B4D">
      <w:pPr>
        <w:pStyle w:val="Tekstpodstawowy"/>
        <w:spacing w:before="8"/>
        <w:jc w:val="both"/>
      </w:pPr>
    </w:p>
    <w:p w14:paraId="0A383D71" w14:textId="77777777" w:rsidR="00E10B4D" w:rsidRPr="00A209C9" w:rsidRDefault="00E10B4D">
      <w:pPr>
        <w:pStyle w:val="Akapitzlist"/>
        <w:widowControl w:val="0"/>
        <w:numPr>
          <w:ilvl w:val="3"/>
          <w:numId w:val="35"/>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2A99CA41" w14:textId="77777777" w:rsidR="00E10B4D" w:rsidRPr="00A209C9" w:rsidRDefault="00E10B4D" w:rsidP="00E10B4D">
      <w:pPr>
        <w:pStyle w:val="Tekstpodstawowy"/>
        <w:spacing w:before="5"/>
        <w:jc w:val="both"/>
      </w:pPr>
    </w:p>
    <w:p w14:paraId="68F0EDE9" w14:textId="77777777" w:rsidR="00E10B4D" w:rsidRPr="00A209C9" w:rsidRDefault="00E10B4D">
      <w:pPr>
        <w:pStyle w:val="Akapitzlist"/>
        <w:widowControl w:val="0"/>
        <w:numPr>
          <w:ilvl w:val="3"/>
          <w:numId w:val="35"/>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7DE3FCBA" w14:textId="77777777" w:rsidR="00E10B4D" w:rsidRPr="00A209C9" w:rsidRDefault="00E10B4D" w:rsidP="00E10B4D">
      <w:pPr>
        <w:pStyle w:val="Tekstpodstawowy"/>
        <w:spacing w:before="8"/>
        <w:jc w:val="both"/>
      </w:pPr>
    </w:p>
    <w:p w14:paraId="2E6359CB" w14:textId="77777777" w:rsidR="00E10B4D" w:rsidRPr="00A209C9" w:rsidRDefault="00E10B4D">
      <w:pPr>
        <w:pStyle w:val="Akapitzlist"/>
        <w:widowControl w:val="0"/>
        <w:numPr>
          <w:ilvl w:val="3"/>
          <w:numId w:val="35"/>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34787BB7" w14:textId="77777777" w:rsidR="00E10B4D" w:rsidRPr="00A209C9" w:rsidRDefault="00E10B4D" w:rsidP="00E10B4D">
      <w:pPr>
        <w:pStyle w:val="Tekstpodstawowy"/>
        <w:spacing w:after="0"/>
        <w:jc w:val="both"/>
      </w:pPr>
    </w:p>
    <w:p w14:paraId="0D2EF373" w14:textId="77777777" w:rsidR="00E10B4D" w:rsidRDefault="00E10B4D" w:rsidP="00E10B4D">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5D3E3FB1" w14:textId="77777777" w:rsidR="00E10B4D" w:rsidRPr="00A209C9" w:rsidRDefault="00E10B4D" w:rsidP="00E10B4D">
      <w:pPr>
        <w:pStyle w:val="Tekstpodstawowy"/>
        <w:spacing w:after="0"/>
        <w:ind w:left="356"/>
        <w:jc w:val="both"/>
      </w:pPr>
    </w:p>
    <w:p w14:paraId="381E5CFE" w14:textId="77777777" w:rsidR="00E10B4D" w:rsidRPr="00A209C9" w:rsidRDefault="00E10B4D" w:rsidP="00E10B4D">
      <w:pPr>
        <w:spacing w:before="61" w:line="275" w:lineRule="exact"/>
        <w:ind w:left="4253" w:right="1473"/>
        <w:jc w:val="both"/>
      </w:pPr>
      <w:r w:rsidRPr="00A209C9">
        <w:rPr>
          <w:position w:val="4"/>
        </w:rPr>
        <w:t>G</w:t>
      </w:r>
      <w:r w:rsidRPr="00A209C9">
        <w:t>ppkt</w:t>
      </w:r>
    </w:p>
    <w:p w14:paraId="7FE24121" w14:textId="77777777" w:rsidR="00E10B4D" w:rsidRPr="00A209C9" w:rsidRDefault="00E10B4D" w:rsidP="00E10B4D">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25E98C6C" w14:textId="77777777" w:rsidR="00E10B4D" w:rsidRPr="00A209C9" w:rsidRDefault="00E10B4D" w:rsidP="00E10B4D">
      <w:pPr>
        <w:spacing w:before="57" w:line="272" w:lineRule="exact"/>
        <w:ind w:left="4253" w:right="1472"/>
        <w:jc w:val="both"/>
      </w:pPr>
      <w:r w:rsidRPr="00A209C9">
        <w:rPr>
          <w:position w:val="4"/>
        </w:rPr>
        <w:t>G</w:t>
      </w:r>
      <w:r w:rsidRPr="00A209C9">
        <w:t>max</w:t>
      </w:r>
    </w:p>
    <w:p w14:paraId="0BBCC169" w14:textId="77777777" w:rsidR="00E10B4D" w:rsidRPr="00A209C9" w:rsidRDefault="00E10B4D" w:rsidP="00E10B4D">
      <w:pPr>
        <w:pStyle w:val="Tekstpodstawowy"/>
        <w:spacing w:line="247" w:lineRule="exact"/>
        <w:ind w:left="356"/>
        <w:jc w:val="both"/>
      </w:pPr>
      <w:r w:rsidRPr="00A209C9">
        <w:t>gdzie:</w:t>
      </w:r>
    </w:p>
    <w:p w14:paraId="63549922" w14:textId="77777777" w:rsidR="00E10B4D" w:rsidRPr="00A209C9" w:rsidRDefault="00E10B4D" w:rsidP="00E10B4D">
      <w:pPr>
        <w:pStyle w:val="Tekstpodstawowy"/>
        <w:spacing w:before="54"/>
        <w:ind w:left="356"/>
        <w:jc w:val="both"/>
      </w:pPr>
      <w:r w:rsidRPr="00A209C9">
        <w:t>G</w:t>
      </w:r>
      <w:r w:rsidRPr="00A209C9">
        <w:rPr>
          <w:position w:val="-3"/>
        </w:rPr>
        <w:t xml:space="preserve">ppkt </w:t>
      </w:r>
      <w:r w:rsidRPr="00A209C9">
        <w:t>– podpunkty przyznane za wydłużenie okresu gwarancji i rękojmi badanej oferty</w:t>
      </w:r>
    </w:p>
    <w:p w14:paraId="3F838BD6" w14:textId="77777777" w:rsidR="00E10B4D" w:rsidRPr="00A209C9" w:rsidRDefault="00E10B4D" w:rsidP="00E10B4D">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34986C75" w14:textId="77777777" w:rsidR="00E10B4D" w:rsidRPr="00A209C9" w:rsidRDefault="00E10B4D" w:rsidP="00E10B4D">
      <w:pPr>
        <w:pStyle w:val="Tekstpodstawowy"/>
        <w:spacing w:before="3"/>
        <w:ind w:left="356" w:right="236"/>
        <w:jc w:val="both"/>
      </w:pPr>
      <w:r w:rsidRPr="00A209C9">
        <w:t>Max(G) - maksymalna ilość punktów, jakie może otrzymać oferta za kryterium wydłużenie okresu gwarancji i rękojmi (tj. 40 pkt)</w:t>
      </w:r>
    </w:p>
    <w:p w14:paraId="56858491" w14:textId="77777777" w:rsidR="00E10B4D" w:rsidRPr="00A209C9" w:rsidRDefault="00E10B4D" w:rsidP="00E10B4D">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5B3B9421" w14:textId="77777777" w:rsidR="00E10B4D" w:rsidRPr="00A209C9" w:rsidRDefault="00E10B4D" w:rsidP="00E10B4D">
      <w:pPr>
        <w:pStyle w:val="Tekstpodstawowy"/>
        <w:spacing w:before="2"/>
        <w:jc w:val="both"/>
        <w:rPr>
          <w:b/>
        </w:rPr>
      </w:pPr>
    </w:p>
    <w:p w14:paraId="17AE8D95" w14:textId="77777777" w:rsidR="00E10B4D" w:rsidRPr="00A209C9" w:rsidRDefault="00E10B4D">
      <w:pPr>
        <w:pStyle w:val="Akapitzlist"/>
        <w:widowControl w:val="0"/>
        <w:numPr>
          <w:ilvl w:val="0"/>
          <w:numId w:val="34"/>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1E7A4D92" w14:textId="77777777" w:rsidR="00E10B4D" w:rsidRPr="00A209C9" w:rsidRDefault="00E10B4D">
      <w:pPr>
        <w:pStyle w:val="Akapitzlist"/>
        <w:widowControl w:val="0"/>
        <w:numPr>
          <w:ilvl w:val="0"/>
          <w:numId w:val="34"/>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r>
      <w:r w:rsidRPr="00A209C9">
        <w:lastRenderedPageBreak/>
        <w:t>z zaoferowaniem przez Wykonawcę minimalnego okresu gwarancji na roboty budowlane tj. 36 miesięcy. W takiej sytuacji Wykonawca w przedmiotowym kryterium otrzyma 0</w:t>
      </w:r>
      <w:r w:rsidRPr="00A209C9">
        <w:rPr>
          <w:spacing w:val="-11"/>
        </w:rPr>
        <w:t xml:space="preserve"> </w:t>
      </w:r>
      <w:r w:rsidRPr="00A209C9">
        <w:t>punktów.</w:t>
      </w:r>
    </w:p>
    <w:p w14:paraId="54FE959B" w14:textId="77777777" w:rsidR="00E10B4D" w:rsidRPr="00A209C9" w:rsidRDefault="00E10B4D">
      <w:pPr>
        <w:pStyle w:val="Akapitzlist"/>
        <w:widowControl w:val="0"/>
        <w:numPr>
          <w:ilvl w:val="0"/>
          <w:numId w:val="34"/>
        </w:numPr>
        <w:tabs>
          <w:tab w:val="left" w:pos="630"/>
        </w:tabs>
        <w:autoSpaceDE w:val="0"/>
        <w:autoSpaceDN w:val="0"/>
        <w:ind w:right="-108" w:firstLine="0"/>
        <w:jc w:val="both"/>
        <w:rPr>
          <w:b/>
        </w:rPr>
      </w:pPr>
      <w:r w:rsidRPr="00A209C9">
        <w:t xml:space="preserve">W przypadku, gdy Wykonawca zaoferuje okres gwarancji krótszy niż 36 miesięcy, jego oferta zostanie odrzucona na podstawie art. 226 ust. 1 pkt 5 Pzp - jako oferta niezgodna </w:t>
      </w:r>
      <w:r w:rsidRPr="00A209C9">
        <w:br/>
        <w:t>z warunkami zamówienia.</w:t>
      </w:r>
    </w:p>
    <w:p w14:paraId="301CEEA5" w14:textId="530F7FDF" w:rsidR="00F03965" w:rsidRPr="00A209C9" w:rsidRDefault="00F03965" w:rsidP="00E10B4D">
      <w:pPr>
        <w:spacing w:before="240"/>
        <w:ind w:right="-108"/>
        <w:jc w:val="both"/>
        <w:rPr>
          <w:b/>
        </w:rPr>
      </w:pPr>
    </w:p>
    <w:p w14:paraId="7A1AB5CD" w14:textId="131E21A3" w:rsidR="009615B1" w:rsidRPr="00A209C9" w:rsidRDefault="006F1EA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60DCF606" w14:textId="1BE0B405" w:rsidR="00970482" w:rsidRPr="00A209C9" w:rsidRDefault="00970482" w:rsidP="00A209C9">
      <w:pPr>
        <w:ind w:right="-108"/>
        <w:jc w:val="both"/>
        <w:rPr>
          <w:b/>
          <w:color w:val="FF0000"/>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314159">
        <w:rPr>
          <w:b/>
        </w:rPr>
        <w:t>y.</w:t>
      </w:r>
    </w:p>
    <w:p w14:paraId="25C5A40F" w14:textId="058E0234" w:rsidR="006C3F4D" w:rsidRPr="00A209C9" w:rsidRDefault="006C3F4D" w:rsidP="00A209C9">
      <w:pPr>
        <w:ind w:right="-108"/>
        <w:jc w:val="both"/>
        <w:rPr>
          <w:rFonts w:eastAsia="Times"/>
          <w:i/>
          <w:color w:val="17365D" w:themeColor="text2" w:themeShade="BF"/>
        </w:rPr>
      </w:pPr>
    </w:p>
    <w:p w14:paraId="3EDF060C" w14:textId="77777777" w:rsidR="00660A68" w:rsidRPr="00A209C9" w:rsidRDefault="00660A68" w:rsidP="00A209C9">
      <w:pPr>
        <w:ind w:right="-108"/>
        <w:jc w:val="both"/>
      </w:pPr>
    </w:p>
    <w:p w14:paraId="1BD66BB8" w14:textId="7FE82B90" w:rsidR="00660A68" w:rsidRPr="00A209C9" w:rsidRDefault="00660A68">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5F607AAE" w14:textId="67638174" w:rsidR="00514F34" w:rsidRPr="006B7547" w:rsidRDefault="00514F34">
      <w:pPr>
        <w:pStyle w:val="Akapitzlist"/>
        <w:numPr>
          <w:ilvl w:val="3"/>
          <w:numId w:val="32"/>
        </w:numPr>
        <w:suppressAutoHyphens/>
        <w:ind w:left="567"/>
        <w:contextualSpacing/>
        <w:jc w:val="both"/>
      </w:pPr>
      <w:r w:rsidRPr="006B7547">
        <w:t>Zamawiający wymaga wniesienia zabezpieczenia należytego wykonania umowy przez wykonawcę, którego oferta została uznana za najkorzystniejszą.</w:t>
      </w:r>
    </w:p>
    <w:p w14:paraId="41C8CFD6" w14:textId="497490FA" w:rsidR="005471F6" w:rsidRPr="006B7547" w:rsidRDefault="00514F34">
      <w:pPr>
        <w:pStyle w:val="Akapitzlist"/>
        <w:numPr>
          <w:ilvl w:val="3"/>
          <w:numId w:val="32"/>
        </w:numPr>
        <w:suppressAutoHyphens/>
        <w:ind w:left="567"/>
        <w:contextualSpacing/>
        <w:jc w:val="both"/>
      </w:pPr>
      <w:r w:rsidRPr="006B7547">
        <w:t xml:space="preserve">Zabezpieczenie należytego wykonania umowy wynosić będzie </w:t>
      </w:r>
      <w:r w:rsidR="00314159" w:rsidRPr="00314159">
        <w:rPr>
          <w:b/>
          <w:bCs/>
        </w:rPr>
        <w:t>2</w:t>
      </w:r>
      <w:r w:rsidRPr="00314159">
        <w:rPr>
          <w:b/>
          <w:bCs/>
        </w:rPr>
        <w:t>%</w:t>
      </w:r>
      <w:r w:rsidRPr="006B7547">
        <w:t xml:space="preserve"> ceny całkowitej brutto podanej w ofercie.</w:t>
      </w:r>
    </w:p>
    <w:p w14:paraId="671ACEE1" w14:textId="46D3AE0C" w:rsidR="00514F34" w:rsidRPr="006B7547" w:rsidRDefault="00514F34">
      <w:pPr>
        <w:pStyle w:val="Akapitzlist"/>
        <w:numPr>
          <w:ilvl w:val="3"/>
          <w:numId w:val="32"/>
        </w:numPr>
        <w:suppressAutoHyphens/>
        <w:ind w:left="567"/>
        <w:contextualSpacing/>
        <w:jc w:val="both"/>
      </w:pPr>
      <w:r w:rsidRPr="006B7547">
        <w:t>Zabezpieczenie może być wnoszone według wyboru Wykonawcy w jednej lub w kilku następujących formach:</w:t>
      </w:r>
    </w:p>
    <w:p w14:paraId="0A7F694E"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pieniądzu;</w:t>
      </w:r>
    </w:p>
    <w:p w14:paraId="54F78776"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bankowych lub poręczeniach spółdzielczej kasy oszczędnościowo-kredytowej, z tym że zobowiązanie kasy jest zawsze zobowiązaniem pieniężnym;</w:t>
      </w:r>
    </w:p>
    <w:p w14:paraId="3714A790"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bankowych;</w:t>
      </w:r>
    </w:p>
    <w:p w14:paraId="2E6D1628"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ubezpieczeniowych;</w:t>
      </w:r>
    </w:p>
    <w:p w14:paraId="29F7C404"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udzielanych przez podmioty, o których mowa w art. 6b ust. 5 pkt 2 ustawy z dnia 9 listopada 2000 r. o utworzeniu Polskiej Agencji Rozwoju Przedsiębiorczości.</w:t>
      </w:r>
    </w:p>
    <w:p w14:paraId="3B000A2E" w14:textId="56FFC6F8" w:rsidR="005471F6" w:rsidRPr="006B7547" w:rsidRDefault="00514F34">
      <w:pPr>
        <w:pStyle w:val="Akapitzlist"/>
        <w:numPr>
          <w:ilvl w:val="3"/>
          <w:numId w:val="32"/>
        </w:numPr>
        <w:suppressAutoHyphens/>
        <w:ind w:left="567"/>
        <w:contextualSpacing/>
        <w:jc w:val="both"/>
      </w:pPr>
      <w:r w:rsidRPr="006B7547">
        <w:t>Zabezpieczenie wnoszone w pieniądzu powinno zostać wpłacone przed zawarciem umowy, przelewem na rachunek bankowy Zamawiającego w banku BS Wolin numer rachunku: 04 9393 0000 0008 6075 2000 0040: tytuł przelewu: „Zabezpieczenie należytego wykonania zadania nr ZP.271.</w:t>
      </w:r>
      <w:r w:rsidR="00314159">
        <w:t>2</w:t>
      </w:r>
      <w:r w:rsidRPr="006B7547">
        <w:t>.202</w:t>
      </w:r>
      <w:r w:rsidR="00314159">
        <w:t>4</w:t>
      </w:r>
      <w:r w:rsidRPr="006B7547">
        <w:t>”.</w:t>
      </w:r>
    </w:p>
    <w:p w14:paraId="519C8DCE" w14:textId="77777777" w:rsidR="005471F6" w:rsidRPr="006B7547" w:rsidRDefault="00514F34">
      <w:pPr>
        <w:pStyle w:val="Akapitzlist"/>
        <w:numPr>
          <w:ilvl w:val="3"/>
          <w:numId w:val="32"/>
        </w:numPr>
        <w:suppressAutoHyphens/>
        <w:ind w:left="567"/>
        <w:contextualSpacing/>
        <w:jc w:val="both"/>
      </w:pPr>
      <w:r w:rsidRPr="006B7547">
        <w:rPr>
          <w:rFonts w:eastAsia="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DF8BF23" w14:textId="77777777" w:rsidR="005471F6" w:rsidRPr="006B7547" w:rsidRDefault="00514F34">
      <w:pPr>
        <w:pStyle w:val="Akapitzlist"/>
        <w:numPr>
          <w:ilvl w:val="3"/>
          <w:numId w:val="32"/>
        </w:numPr>
        <w:suppressAutoHyphens/>
        <w:ind w:left="567"/>
        <w:contextualSpacing/>
        <w:jc w:val="both"/>
      </w:pPr>
      <w:r w:rsidRPr="006B7547">
        <w:t xml:space="preserve">Zabezpieczenie należytego wykonania umowy, we wszystkich formach przewidzianych w pkt </w:t>
      </w:r>
      <w:r w:rsidR="005471F6" w:rsidRPr="006B7547">
        <w:t>3</w:t>
      </w:r>
      <w:r w:rsidRPr="006B7547">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w:t>
      </w:r>
    </w:p>
    <w:p w14:paraId="43C2E1C7" w14:textId="0376571E" w:rsidR="00514F34" w:rsidRPr="006B7547" w:rsidRDefault="00514F34">
      <w:pPr>
        <w:pStyle w:val="Akapitzlist"/>
        <w:numPr>
          <w:ilvl w:val="3"/>
          <w:numId w:val="32"/>
        </w:numPr>
        <w:suppressAutoHyphens/>
        <w:ind w:left="567"/>
        <w:contextualSpacing/>
        <w:jc w:val="both"/>
      </w:pPr>
      <w:r w:rsidRPr="006B7547">
        <w:lastRenderedPageBreak/>
        <w:t>Jeżeli zabezpieczenie wniesiono w postaci gwarancji lub poręczenia, to taka gwarancja/ poręczenie ma być sporządzona zgodnie z obowiązującym prawem i winny zawierać następujące elementy:</w:t>
      </w:r>
    </w:p>
    <w:p w14:paraId="265C6DDB"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nazwę dającego zlecenie (Wykonawcy), beneficjenta gwarancji /poręczenia (Zamawiającego), gwaranta/poręczyciela (banku lub instytucji ubezpieczeniowej udzielających gwarancji/poręczenia) oraz wskazanie ich siedzib;</w:t>
      </w:r>
    </w:p>
    <w:p w14:paraId="42EF26E0"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oznaczenie postępowania;</w:t>
      </w:r>
    </w:p>
    <w:p w14:paraId="6BB341AE"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przedmiotu postępowania;</w:t>
      </w:r>
    </w:p>
    <w:p w14:paraId="56EB960A"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wierzytelności, która ma być zabezpieczona gwarancją/ poręczeniem (tj. wierzytelności służące zamawiającemu z tytułu niewykonania lub nienależytego wykonania umowy i zabezpieczenia pokrycia roszczeń z tytułu rękojmi za wady i gwarancji jakości),</w:t>
      </w:r>
    </w:p>
    <w:p w14:paraId="26E7D1C7"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kwotę gwarancji/poręczenia,</w:t>
      </w:r>
    </w:p>
    <w:p w14:paraId="26679876"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termin ważności gwarancji/poręczenia uwzględniający postanowienia w sprawie zwrotu zabezpieczenia należytego wykonania umowy.</w:t>
      </w:r>
    </w:p>
    <w:p w14:paraId="6F50A02F" w14:textId="4FE9F0A6"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jeżeli zabezpieczenie będzie wystawione w formie poręczenia lub gwarancji, to powinno zawierać: </w:t>
      </w:r>
    </w:p>
    <w:p w14:paraId="031E298F"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14:paraId="372CF771"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531D6F23"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oświadczenie, że poręczyciel lub gwarant zrzeka się obowiązku notyfikacji o takiej zmianie, uzupełnieniu czy modyfikacji.</w:t>
      </w:r>
    </w:p>
    <w:p w14:paraId="2B3D6E54" w14:textId="27A5B599"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poręczenie lub gwarancja: </w:t>
      </w:r>
    </w:p>
    <w:p w14:paraId="6EBE5378"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 xml:space="preserve">nie będzie przewidywać właściwości prawa innego niż prawo Rzeczypospolitej Polskiej; </w:t>
      </w:r>
    </w:p>
    <w:p w14:paraId="16952353"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nie będzie poddawać sporów ich dotyczących właściwości innych sądów niż sądy powszechne w Rzeczypospolitej Polskiej.</w:t>
      </w:r>
    </w:p>
    <w:p w14:paraId="46FED3A2" w14:textId="77777777" w:rsidR="005471F6" w:rsidRPr="006B7547" w:rsidRDefault="00514F34">
      <w:pPr>
        <w:pStyle w:val="Akapitzlist"/>
        <w:numPr>
          <w:ilvl w:val="3"/>
          <w:numId w:val="32"/>
        </w:numPr>
        <w:suppressAutoHyphens/>
        <w:ind w:left="567"/>
        <w:contextualSpacing/>
        <w:jc w:val="both"/>
      </w:pPr>
      <w:r w:rsidRPr="006B7547">
        <w:t>Zamawiający nie dopuszcza możliwości uzależnienia wypłaty kwot z gwarancji/poręczenia od przedłożenia jakichkolwiek dodatkowych dokumentów,</w:t>
      </w:r>
      <w:r w:rsidR="005471F6" w:rsidRPr="006B7547">
        <w:t xml:space="preserve"> za wyjątkiem dokumentów potwierdzających umocowanie osób występujących w imieniu Zamawiającego,</w:t>
      </w:r>
      <w:r w:rsidRPr="006B7547">
        <w:t xml:space="preserve"> poświadczenia podpisu przez osoby trzecie, bądź spełnienia jakichkolwiek warunków, poza oświadczeniem Zamawiającego, iż żądana kwota jest należna z tytułu niewykonania bądź nienależytego wykonania umowy.</w:t>
      </w:r>
    </w:p>
    <w:p w14:paraId="67278E33" w14:textId="77777777" w:rsidR="005471F6" w:rsidRPr="006B7547" w:rsidRDefault="00514F34">
      <w:pPr>
        <w:pStyle w:val="Akapitzlist"/>
        <w:numPr>
          <w:ilvl w:val="3"/>
          <w:numId w:val="32"/>
        </w:numPr>
        <w:suppressAutoHyphens/>
        <w:ind w:left="567"/>
        <w:contextualSpacing/>
        <w:jc w:val="both"/>
      </w:pPr>
      <w:r w:rsidRPr="006B7547">
        <w:t>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 przypadku zgłoszenia zastrzeżeń, Wykonawca spełni wymagania Zamawiającego w wyznaczonym terminie.</w:t>
      </w:r>
    </w:p>
    <w:p w14:paraId="6455D411" w14:textId="77777777" w:rsidR="005471F6" w:rsidRPr="006B7547" w:rsidRDefault="00514F34">
      <w:pPr>
        <w:pStyle w:val="Akapitzlist"/>
        <w:numPr>
          <w:ilvl w:val="3"/>
          <w:numId w:val="32"/>
        </w:numPr>
        <w:suppressAutoHyphens/>
        <w:ind w:left="567"/>
        <w:contextualSpacing/>
        <w:jc w:val="both"/>
      </w:pPr>
      <w:r w:rsidRPr="006B7547">
        <w:t xml:space="preserve">Zamawiający zwróci zabezpieczenie w terminie 30 dni od dnia wykonania zamówienia i uznania przez zamawiającego za należycie wykonane w protokole odbioru końcowego Przedmiotu Umowy. Kwota pozostawiona na zabezpieczenie roszczeń z tytułu rękojmi </w:t>
      </w:r>
      <w:r w:rsidRPr="006B7547">
        <w:lastRenderedPageBreak/>
        <w:t>za wady i gwarancji jakości w wysokości 30 % wysokości zabezpieczenia zostanie zwrócone nie później niż w 15 dniu po upływie okresu rękojmi za wady lub gwarancji.</w:t>
      </w:r>
    </w:p>
    <w:p w14:paraId="7E77A839" w14:textId="77777777" w:rsidR="005471F6" w:rsidRPr="006B7547" w:rsidRDefault="00514F34">
      <w:pPr>
        <w:pStyle w:val="Akapitzlist"/>
        <w:numPr>
          <w:ilvl w:val="3"/>
          <w:numId w:val="32"/>
        </w:numPr>
        <w:suppressAutoHyphens/>
        <w:ind w:left="567"/>
        <w:contextualSpacing/>
        <w:jc w:val="both"/>
      </w:pPr>
      <w:r w:rsidRPr="006B7547">
        <w:t>Koszty związane z wystawieniem zabezpieczenia należytego wykonania umowy ponosi Wykonawca.</w:t>
      </w:r>
    </w:p>
    <w:p w14:paraId="223D52E1" w14:textId="794C481E" w:rsidR="00514F34" w:rsidRPr="006B7547" w:rsidRDefault="00514F34">
      <w:pPr>
        <w:pStyle w:val="Akapitzlist"/>
        <w:numPr>
          <w:ilvl w:val="3"/>
          <w:numId w:val="32"/>
        </w:numPr>
        <w:suppressAutoHyphens/>
        <w:ind w:left="567"/>
        <w:contextualSpacing/>
        <w:jc w:val="both"/>
      </w:pPr>
      <w:r w:rsidRPr="006B7547">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7F9E095E" w14:textId="25ED6599" w:rsidR="00514F34" w:rsidRPr="006B7547" w:rsidRDefault="00514F34" w:rsidP="00E10B4D">
      <w:pPr>
        <w:ind w:left="360"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pPr>
        <w:numPr>
          <w:ilvl w:val="0"/>
          <w:numId w:val="15"/>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6" w:name="_Toc42045493"/>
    </w:p>
    <w:p w14:paraId="11C18AE9" w14:textId="77777777" w:rsidR="00DB1A25" w:rsidRPr="00A209C9" w:rsidRDefault="00DB1A25">
      <w:pPr>
        <w:numPr>
          <w:ilvl w:val="0"/>
          <w:numId w:val="15"/>
        </w:numPr>
        <w:ind w:right="-108"/>
        <w:jc w:val="both"/>
      </w:pPr>
      <w:r w:rsidRPr="00A209C9">
        <w:t>Wykonawca przed zawarciem umowy:</w:t>
      </w:r>
    </w:p>
    <w:p w14:paraId="48FAB987" w14:textId="05BA027A" w:rsidR="00DB1A25" w:rsidRPr="00A209C9" w:rsidRDefault="00DB1A25">
      <w:pPr>
        <w:numPr>
          <w:ilvl w:val="1"/>
          <w:numId w:val="14"/>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pPr>
        <w:numPr>
          <w:ilvl w:val="1"/>
          <w:numId w:val="14"/>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A209C9" w:rsidRDefault="00DB1A25" w:rsidP="00A209C9">
      <w:pPr>
        <w:ind w:right="-108"/>
        <w:jc w:val="both"/>
        <w:rPr>
          <w:b/>
        </w:rPr>
      </w:pPr>
    </w:p>
    <w:p w14:paraId="60FD0647" w14:textId="5B402241" w:rsidR="00DB1A25"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Pzp,</w:t>
      </w:r>
      <w:r w:rsidRPr="00A209C9">
        <w:t xml:space="preserve"> będzie</w:t>
      </w:r>
      <w:r w:rsidR="007D7898" w:rsidRPr="00A209C9">
        <w:t xml:space="preserve"> skutkowało zatrzymaniem przez z</w:t>
      </w:r>
      <w:r w:rsidRPr="00A209C9">
        <w:t>amawiającego wadium wraz z odsetkami.</w:t>
      </w:r>
    </w:p>
    <w:p w14:paraId="466F042F" w14:textId="2C00607C" w:rsidR="0019128D" w:rsidRDefault="0019128D" w:rsidP="00A209C9">
      <w:pPr>
        <w:ind w:right="-108"/>
        <w:jc w:val="both"/>
      </w:pPr>
    </w:p>
    <w:p w14:paraId="50180401" w14:textId="092A612B" w:rsidR="0019128D" w:rsidRPr="00A209C9" w:rsidRDefault="0019128D">
      <w:pPr>
        <w:numPr>
          <w:ilvl w:val="0"/>
          <w:numId w:val="22"/>
        </w:numPr>
        <w:shd w:val="clear" w:color="auto" w:fill="FBD4B4" w:themeFill="accent6" w:themeFillTint="66"/>
        <w:spacing w:after="200" w:line="252" w:lineRule="auto"/>
        <w:contextualSpacing/>
        <w:jc w:val="both"/>
        <w:rPr>
          <w:b/>
          <w:lang w:eastAsia="en-US"/>
        </w:rPr>
      </w:pPr>
      <w:r>
        <w:rPr>
          <w:b/>
          <w:lang w:eastAsia="en-US"/>
        </w:rPr>
        <w:t>Unieważnienie postępowania</w:t>
      </w:r>
    </w:p>
    <w:p w14:paraId="25822D9F" w14:textId="19B4270B" w:rsidR="0019128D" w:rsidRPr="0019128D" w:rsidRDefault="0019128D" w:rsidP="00A209C9">
      <w:pPr>
        <w:ind w:right="-108"/>
        <w:jc w:val="both"/>
      </w:pPr>
    </w:p>
    <w:p w14:paraId="03317BA2" w14:textId="285A29EC" w:rsidR="0019128D" w:rsidRPr="0019128D" w:rsidRDefault="0019128D" w:rsidP="00E10B4D">
      <w:pPr>
        <w:jc w:val="both"/>
      </w:pPr>
      <w:r w:rsidRPr="0019128D">
        <w:t xml:space="preserve">Zamawiający oświadcza, że na realizację niniejszej inwestycji ubiega się o uzyskanie dofinansowania z Programu Rządowy Fundusz Polski Ład: Program Inwestycji Strategicznych. Wobec powyższego, na podstawie art. 257 P.z.p. Zamawiający informuje o możliwości unieważnienia przedmiotowego postępowania, jeżeli </w:t>
      </w:r>
      <w:r w:rsidRPr="0019128D">
        <w:rPr>
          <w:color w:val="333333"/>
          <w:shd w:val="clear" w:color="auto" w:fill="FFFFFF"/>
        </w:rPr>
        <w:t>środki publiczne, które zamawiający zamierzał przeznaczyć na sfinansowanie całości lub części zamówienia, nie zosta</w:t>
      </w:r>
      <w:r>
        <w:rPr>
          <w:color w:val="333333"/>
          <w:shd w:val="clear" w:color="auto" w:fill="FFFFFF"/>
        </w:rPr>
        <w:t>ną</w:t>
      </w:r>
      <w:r w:rsidRPr="0019128D">
        <w:rPr>
          <w:color w:val="333333"/>
          <w:shd w:val="clear" w:color="auto" w:fill="FFFFFF"/>
        </w:rPr>
        <w:t xml:space="preserve"> mu przyznane</w:t>
      </w:r>
      <w:r>
        <w:rPr>
          <w:color w:val="333333"/>
          <w:shd w:val="clear" w:color="auto" w:fill="FFFFFF"/>
        </w:rPr>
        <w:t>.</w:t>
      </w:r>
    </w:p>
    <w:p w14:paraId="13B15865" w14:textId="77777777" w:rsidR="00D4155E" w:rsidRPr="00A209C9" w:rsidRDefault="00D4155E" w:rsidP="00A209C9">
      <w:pPr>
        <w:ind w:right="-108"/>
        <w:jc w:val="both"/>
        <w:rPr>
          <w:b/>
        </w:rPr>
      </w:pPr>
    </w:p>
    <w:p w14:paraId="495A6D14" w14:textId="15B1E6CD" w:rsidR="00C5791B" w:rsidRPr="00E307D6" w:rsidRDefault="00C5791B" w:rsidP="00A209C9">
      <w:pPr>
        <w:widowControl w:val="0"/>
        <w:snapToGrid w:val="0"/>
        <w:jc w:val="both"/>
        <w:rPr>
          <w:b/>
        </w:rPr>
      </w:pPr>
      <w:r w:rsidRPr="00E307D6">
        <w:rPr>
          <w:b/>
        </w:rPr>
        <w:t>Załą</w:t>
      </w:r>
      <w:r w:rsidR="006979D1" w:rsidRPr="00E307D6">
        <w:rPr>
          <w:b/>
        </w:rPr>
        <w:t>czniki</w:t>
      </w:r>
      <w:r w:rsidRPr="00E307D6">
        <w:rPr>
          <w:b/>
        </w:rPr>
        <w:t>:</w:t>
      </w:r>
    </w:p>
    <w:p w14:paraId="63F9520D" w14:textId="7F6EE56F" w:rsidR="00970482" w:rsidRPr="00E307D6" w:rsidRDefault="00970482" w:rsidP="00A209C9">
      <w:pPr>
        <w:widowControl w:val="0"/>
        <w:snapToGrid w:val="0"/>
        <w:jc w:val="both"/>
        <w:rPr>
          <w:b/>
        </w:rPr>
      </w:pPr>
      <w:r w:rsidRPr="00E307D6">
        <w:rPr>
          <w:b/>
        </w:rPr>
        <w:t xml:space="preserve">- załącznik nr 1 do SWZ </w:t>
      </w:r>
      <w:r w:rsidR="00AE0E6C" w:rsidRPr="00E307D6">
        <w:rPr>
          <w:b/>
        </w:rPr>
        <w:t xml:space="preserve">– </w:t>
      </w:r>
      <w:r w:rsidR="0063334B" w:rsidRPr="00E307D6">
        <w:rPr>
          <w:b/>
        </w:rPr>
        <w:t xml:space="preserve">formularz ofertowy </w:t>
      </w:r>
    </w:p>
    <w:p w14:paraId="1E13178D" w14:textId="6E551571" w:rsidR="006A21F6" w:rsidRPr="00E307D6" w:rsidRDefault="006A21F6" w:rsidP="00A209C9">
      <w:pPr>
        <w:widowControl w:val="0"/>
        <w:snapToGrid w:val="0"/>
        <w:jc w:val="both"/>
        <w:rPr>
          <w:b/>
        </w:rPr>
      </w:pPr>
      <w:r w:rsidRPr="00E307D6">
        <w:rPr>
          <w:b/>
        </w:rPr>
        <w:t>- załącznik nr 2 do SWZ</w:t>
      </w:r>
      <w:r w:rsidR="0002118E" w:rsidRPr="00E307D6">
        <w:rPr>
          <w:b/>
        </w:rPr>
        <w:t xml:space="preserve"> </w:t>
      </w:r>
      <w:r w:rsidR="00AE0E6C" w:rsidRPr="00E307D6">
        <w:rPr>
          <w:b/>
        </w:rPr>
        <w:t xml:space="preserve">– </w:t>
      </w:r>
      <w:r w:rsidR="0063334B" w:rsidRPr="00E307D6">
        <w:rPr>
          <w:b/>
        </w:rPr>
        <w:t>projekt umowy</w:t>
      </w:r>
    </w:p>
    <w:p w14:paraId="056769EF" w14:textId="7E09F164" w:rsidR="006A21F6" w:rsidRPr="00E307D6" w:rsidRDefault="006A21F6" w:rsidP="00A209C9">
      <w:pPr>
        <w:widowControl w:val="0"/>
        <w:snapToGrid w:val="0"/>
        <w:jc w:val="both"/>
        <w:rPr>
          <w:b/>
        </w:rPr>
      </w:pPr>
      <w:r w:rsidRPr="00E307D6">
        <w:rPr>
          <w:b/>
        </w:rPr>
        <w:t xml:space="preserve">- załącznik nr 3 do SWZ – </w:t>
      </w:r>
      <w:r w:rsidR="0063334B" w:rsidRPr="00E307D6">
        <w:rPr>
          <w:b/>
        </w:rPr>
        <w:t xml:space="preserve">Informacje dotyczące Wykonawcy </w:t>
      </w:r>
    </w:p>
    <w:p w14:paraId="136F873E" w14:textId="6FB3C497" w:rsidR="006A21F6" w:rsidRPr="00E307D6" w:rsidRDefault="006A21F6" w:rsidP="00A209C9">
      <w:pPr>
        <w:widowControl w:val="0"/>
        <w:snapToGrid w:val="0"/>
        <w:jc w:val="both"/>
        <w:rPr>
          <w:b/>
        </w:rPr>
      </w:pPr>
      <w:r w:rsidRPr="00E307D6">
        <w:rPr>
          <w:b/>
        </w:rPr>
        <w:t xml:space="preserve">- załącznik nr 4 </w:t>
      </w:r>
      <w:r w:rsidR="006979D1" w:rsidRPr="00E307D6">
        <w:rPr>
          <w:b/>
        </w:rPr>
        <w:t xml:space="preserve">do SWZ </w:t>
      </w:r>
      <w:r w:rsidRPr="00E307D6">
        <w:rPr>
          <w:b/>
        </w:rPr>
        <w:t xml:space="preserve">– oświadczenie warunki udziału </w:t>
      </w:r>
    </w:p>
    <w:p w14:paraId="63D3FF7C" w14:textId="6F5374C6" w:rsidR="006A21F6" w:rsidRPr="00E307D6" w:rsidRDefault="006A21F6" w:rsidP="00A209C9">
      <w:pPr>
        <w:widowControl w:val="0"/>
        <w:snapToGrid w:val="0"/>
        <w:jc w:val="both"/>
        <w:rPr>
          <w:b/>
        </w:rPr>
      </w:pPr>
      <w:r w:rsidRPr="00E307D6">
        <w:rPr>
          <w:b/>
        </w:rPr>
        <w:t>- załącznik nr 5</w:t>
      </w:r>
      <w:r w:rsidR="006979D1" w:rsidRPr="00E307D6">
        <w:rPr>
          <w:b/>
        </w:rPr>
        <w:t xml:space="preserve"> do SWZ</w:t>
      </w:r>
      <w:r w:rsidR="007A5F81" w:rsidRPr="00E307D6">
        <w:rPr>
          <w:b/>
        </w:rPr>
        <w:t xml:space="preserve"> – oświadczenie podstawy wykluczenia </w:t>
      </w:r>
    </w:p>
    <w:p w14:paraId="51F61C34" w14:textId="4D62C318" w:rsidR="00582A48" w:rsidRPr="00E307D6" w:rsidRDefault="00582A48" w:rsidP="00A209C9">
      <w:pPr>
        <w:widowControl w:val="0"/>
        <w:snapToGrid w:val="0"/>
        <w:jc w:val="both"/>
        <w:rPr>
          <w:b/>
        </w:rPr>
      </w:pPr>
      <w:r w:rsidRPr="00E307D6">
        <w:rPr>
          <w:b/>
        </w:rPr>
        <w:t xml:space="preserve">- załącznik nr 6 do SWZ – wykaz robót budowalnych </w:t>
      </w:r>
    </w:p>
    <w:p w14:paraId="38A36F56" w14:textId="193118DF" w:rsidR="00582A48" w:rsidRPr="00E307D6" w:rsidRDefault="00582A48" w:rsidP="00A209C9">
      <w:pPr>
        <w:widowControl w:val="0"/>
        <w:snapToGrid w:val="0"/>
        <w:jc w:val="both"/>
        <w:rPr>
          <w:b/>
        </w:rPr>
      </w:pPr>
      <w:r w:rsidRPr="00E307D6">
        <w:rPr>
          <w:b/>
        </w:rPr>
        <w:t xml:space="preserve">- załącznik nr 7 do SWZ – wykaz osób </w:t>
      </w:r>
    </w:p>
    <w:p w14:paraId="413B4973" w14:textId="34986806" w:rsidR="00582A48" w:rsidRPr="00E307D6" w:rsidRDefault="00582A48" w:rsidP="00A209C9">
      <w:pPr>
        <w:widowControl w:val="0"/>
        <w:snapToGrid w:val="0"/>
        <w:jc w:val="both"/>
        <w:rPr>
          <w:b/>
        </w:rPr>
      </w:pPr>
      <w:r w:rsidRPr="00E307D6">
        <w:rPr>
          <w:b/>
        </w:rPr>
        <w:t xml:space="preserve">- załącznik nr 8 do SWZ – Program Funkcjonalno-Użytkowy </w:t>
      </w:r>
    </w:p>
    <w:p w14:paraId="5E416CFA" w14:textId="06E4050A" w:rsidR="00107965" w:rsidRPr="00E307D6" w:rsidRDefault="00582A48" w:rsidP="0020454B">
      <w:pPr>
        <w:widowControl w:val="0"/>
        <w:snapToGrid w:val="0"/>
        <w:jc w:val="both"/>
        <w:rPr>
          <w:b/>
        </w:rPr>
      </w:pPr>
      <w:r w:rsidRPr="00E307D6">
        <w:rPr>
          <w:b/>
        </w:rPr>
        <w:t>- załącznik nr 9 do SWZ – oświadczenie o aktualności danych zawartych w za</w:t>
      </w:r>
      <w:r w:rsidR="00D73017" w:rsidRPr="00E307D6">
        <w:rPr>
          <w:b/>
        </w:rPr>
        <w:t>ł</w:t>
      </w:r>
      <w:r w:rsidRPr="00E307D6">
        <w:rPr>
          <w:b/>
        </w:rPr>
        <w:t>. nr 5</w:t>
      </w:r>
    </w:p>
    <w:p w14:paraId="26EF8850" w14:textId="77777777" w:rsidR="00397F46" w:rsidRDefault="00397F46" w:rsidP="00A209C9">
      <w:pPr>
        <w:pStyle w:val="pkt"/>
        <w:spacing w:before="0" w:after="0" w:line="240" w:lineRule="auto"/>
        <w:ind w:left="0" w:firstLine="0"/>
        <w:rPr>
          <w:iCs/>
          <w:szCs w:val="24"/>
        </w:rPr>
      </w:pPr>
    </w:p>
    <w:p w14:paraId="4E4D1FA8" w14:textId="77777777" w:rsidR="00397F46" w:rsidRDefault="00397F46" w:rsidP="00A209C9">
      <w:pPr>
        <w:pStyle w:val="pkt"/>
        <w:spacing w:before="0" w:after="0" w:line="240" w:lineRule="auto"/>
        <w:ind w:left="0" w:firstLine="0"/>
        <w:rPr>
          <w:iCs/>
          <w:szCs w:val="24"/>
        </w:rPr>
      </w:pPr>
    </w:p>
    <w:p w14:paraId="7FC44B84" w14:textId="77777777" w:rsidR="00397F46" w:rsidRDefault="00397F46" w:rsidP="00A209C9">
      <w:pPr>
        <w:pStyle w:val="pkt"/>
        <w:spacing w:before="0" w:after="0" w:line="240" w:lineRule="auto"/>
        <w:ind w:left="0" w:firstLine="0"/>
        <w:rPr>
          <w:iCs/>
          <w:szCs w:val="24"/>
        </w:rPr>
      </w:pPr>
    </w:p>
    <w:p w14:paraId="2891FED7" w14:textId="77777777" w:rsidR="00397F46" w:rsidRDefault="00397F46" w:rsidP="00A209C9">
      <w:pPr>
        <w:pStyle w:val="pkt"/>
        <w:spacing w:before="0" w:after="0" w:line="240" w:lineRule="auto"/>
        <w:ind w:left="0" w:firstLine="0"/>
        <w:rPr>
          <w:iCs/>
          <w:szCs w:val="24"/>
        </w:rPr>
      </w:pPr>
    </w:p>
    <w:p w14:paraId="03EA4990" w14:textId="77777777" w:rsidR="00397F46" w:rsidRDefault="00397F46" w:rsidP="00A209C9">
      <w:pPr>
        <w:pStyle w:val="pkt"/>
        <w:spacing w:before="0" w:after="0" w:line="240" w:lineRule="auto"/>
        <w:ind w:left="0" w:firstLine="0"/>
        <w:rPr>
          <w:iCs/>
          <w:szCs w:val="24"/>
        </w:rPr>
      </w:pPr>
    </w:p>
    <w:p w14:paraId="4E14C96A" w14:textId="77777777" w:rsidR="00397F46" w:rsidRDefault="00397F46" w:rsidP="00A209C9">
      <w:pPr>
        <w:pStyle w:val="pkt"/>
        <w:spacing w:before="0" w:after="0" w:line="240" w:lineRule="auto"/>
        <w:ind w:left="0" w:firstLine="0"/>
        <w:rPr>
          <w:iCs/>
          <w:szCs w:val="24"/>
        </w:rPr>
      </w:pPr>
    </w:p>
    <w:sectPr w:rsidR="00397F46" w:rsidSect="008317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1DB5" w14:textId="77777777" w:rsidR="00831720" w:rsidRDefault="00831720" w:rsidP="000F1DCF">
      <w:r>
        <w:separator/>
      </w:r>
    </w:p>
  </w:endnote>
  <w:endnote w:type="continuationSeparator" w:id="0">
    <w:p w14:paraId="1B912D13" w14:textId="77777777" w:rsidR="00831720" w:rsidRDefault="00831720" w:rsidP="000F1DCF">
      <w:r>
        <w:continuationSeparator/>
      </w:r>
    </w:p>
  </w:endnote>
  <w:endnote w:type="continuationNotice" w:id="1">
    <w:p w14:paraId="25A1A1B2" w14:textId="77777777" w:rsidR="00831720" w:rsidRDefault="00831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BFA7" w14:textId="77777777" w:rsidR="00831720" w:rsidRDefault="00831720" w:rsidP="000F1DCF">
      <w:r>
        <w:separator/>
      </w:r>
    </w:p>
  </w:footnote>
  <w:footnote w:type="continuationSeparator" w:id="0">
    <w:p w14:paraId="1375BEDC" w14:textId="77777777" w:rsidR="00831720" w:rsidRDefault="00831720" w:rsidP="000F1DCF">
      <w:r>
        <w:continuationSeparator/>
      </w:r>
    </w:p>
  </w:footnote>
  <w:footnote w:type="continuationNotice" w:id="1">
    <w:p w14:paraId="37A5550C" w14:textId="77777777" w:rsidR="00831720" w:rsidRDefault="00831720"/>
  </w:footnote>
  <w:footnote w:id="2">
    <w:p w14:paraId="2CA2EB3B" w14:textId="77777777" w:rsidR="004E3152" w:rsidRDefault="004E3152"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4E3152" w:rsidRPr="008E04C6" w:rsidRDefault="004E3152" w:rsidP="00D30AAA">
      <w:pPr>
        <w:pStyle w:val="Tekstprzypisudolnego"/>
      </w:pPr>
    </w:p>
    <w:p w14:paraId="4F6F2438" w14:textId="77777777" w:rsidR="004E3152" w:rsidRPr="003D7185" w:rsidRDefault="004E3152"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4"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720245"/>
    <w:multiLevelType w:val="hybridMultilevel"/>
    <w:tmpl w:val="D3A872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3" w15:restartNumberingAfterBreak="0">
    <w:nsid w:val="36355523"/>
    <w:multiLevelType w:val="hybridMultilevel"/>
    <w:tmpl w:val="6DD4DA6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41E7CCE"/>
    <w:multiLevelType w:val="hybridMultilevel"/>
    <w:tmpl w:val="739A71F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D67273"/>
    <w:multiLevelType w:val="hybridMultilevel"/>
    <w:tmpl w:val="FE42F58E"/>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AF2CB8C2">
      <w:start w:val="1"/>
      <w:numFmt w:val="lowerLetter"/>
      <w:lvlText w:val="%2)"/>
      <w:lvlJc w:val="left"/>
      <w:pPr>
        <w:ind w:left="1064" w:hanging="425"/>
      </w:pPr>
      <w:rPr>
        <w:rFonts w:ascii="Arial" w:eastAsia="Arial" w:hAnsi="Arial" w:cs="Arial"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39"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28C895D"/>
    <w:multiLevelType w:val="hybridMultilevel"/>
    <w:tmpl w:val="DFB6FE52"/>
    <w:lvl w:ilvl="0" w:tplc="51049DA4">
      <w:start w:val="1"/>
      <w:numFmt w:val="bullet"/>
      <w:lvlText w:val="•"/>
      <w:lvlJc w:val="left"/>
    </w:lvl>
    <w:lvl w:ilvl="1" w:tplc="3E6E4ADE">
      <w:numFmt w:val="decimal"/>
      <w:lvlText w:val=""/>
      <w:lvlJc w:val="left"/>
    </w:lvl>
    <w:lvl w:ilvl="2" w:tplc="A0D236C8">
      <w:numFmt w:val="decimal"/>
      <w:lvlText w:val=""/>
      <w:lvlJc w:val="left"/>
    </w:lvl>
    <w:lvl w:ilvl="3" w:tplc="1CB82044">
      <w:numFmt w:val="decimal"/>
      <w:lvlText w:val=""/>
      <w:lvlJc w:val="left"/>
    </w:lvl>
    <w:lvl w:ilvl="4" w:tplc="163EC17A">
      <w:numFmt w:val="decimal"/>
      <w:lvlText w:val=""/>
      <w:lvlJc w:val="left"/>
    </w:lvl>
    <w:lvl w:ilvl="5" w:tplc="0824C27C">
      <w:numFmt w:val="decimal"/>
      <w:lvlText w:val=""/>
      <w:lvlJc w:val="left"/>
    </w:lvl>
    <w:lvl w:ilvl="6" w:tplc="8758C808">
      <w:numFmt w:val="decimal"/>
      <w:lvlText w:val=""/>
      <w:lvlJc w:val="left"/>
    </w:lvl>
    <w:lvl w:ilvl="7" w:tplc="915E531E">
      <w:numFmt w:val="decimal"/>
      <w:lvlText w:val=""/>
      <w:lvlJc w:val="left"/>
    </w:lvl>
    <w:lvl w:ilvl="8" w:tplc="0B0AE8F0">
      <w:numFmt w:val="decimal"/>
      <w:lvlText w:val=""/>
      <w:lvlJc w:val="left"/>
    </w:lvl>
  </w:abstractNum>
  <w:abstractNum w:abstractNumId="43" w15:restartNumberingAfterBreak="0">
    <w:nsid w:val="640E3A90"/>
    <w:multiLevelType w:val="hybridMultilevel"/>
    <w:tmpl w:val="F6CA4C7E"/>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6A2168D"/>
    <w:multiLevelType w:val="multilevel"/>
    <w:tmpl w:val="C9149526"/>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1DA317"/>
    <w:multiLevelType w:val="hybridMultilevel"/>
    <w:tmpl w:val="CB365D5C"/>
    <w:lvl w:ilvl="0" w:tplc="1B84084C">
      <w:start w:val="1"/>
      <w:numFmt w:val="bullet"/>
      <w:lvlText w:val="•"/>
      <w:lvlJc w:val="left"/>
    </w:lvl>
    <w:lvl w:ilvl="1" w:tplc="A0EC0EFE">
      <w:numFmt w:val="decimal"/>
      <w:lvlText w:val=""/>
      <w:lvlJc w:val="left"/>
    </w:lvl>
    <w:lvl w:ilvl="2" w:tplc="7624E242">
      <w:numFmt w:val="decimal"/>
      <w:lvlText w:val=""/>
      <w:lvlJc w:val="left"/>
    </w:lvl>
    <w:lvl w:ilvl="3" w:tplc="BD829E2A">
      <w:numFmt w:val="decimal"/>
      <w:lvlText w:val=""/>
      <w:lvlJc w:val="left"/>
    </w:lvl>
    <w:lvl w:ilvl="4" w:tplc="1F44F96A">
      <w:numFmt w:val="decimal"/>
      <w:lvlText w:val=""/>
      <w:lvlJc w:val="left"/>
    </w:lvl>
    <w:lvl w:ilvl="5" w:tplc="11E626F6">
      <w:numFmt w:val="decimal"/>
      <w:lvlText w:val=""/>
      <w:lvlJc w:val="left"/>
    </w:lvl>
    <w:lvl w:ilvl="6" w:tplc="0742EF36">
      <w:numFmt w:val="decimal"/>
      <w:lvlText w:val=""/>
      <w:lvlJc w:val="left"/>
    </w:lvl>
    <w:lvl w:ilvl="7" w:tplc="B4D6FD42">
      <w:numFmt w:val="decimal"/>
      <w:lvlText w:val=""/>
      <w:lvlJc w:val="left"/>
    </w:lvl>
    <w:lvl w:ilvl="8" w:tplc="50A66186">
      <w:numFmt w:val="decimal"/>
      <w:lvlText w:val=""/>
      <w:lvlJc w:val="left"/>
    </w:lvl>
  </w:abstractNum>
  <w:abstractNum w:abstractNumId="50"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9FF0570"/>
    <w:multiLevelType w:val="multilevel"/>
    <w:tmpl w:val="7486A836"/>
    <w:lvl w:ilvl="0">
      <w:start w:val="1"/>
      <w:numFmt w:val="decimal"/>
      <w:lvlText w:val="%1)"/>
      <w:lvlJc w:val="left"/>
      <w:pPr>
        <w:ind w:left="1065"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1425"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425"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785" w:hanging="108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5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509175542">
    <w:abstractNumId w:val="19"/>
  </w:num>
  <w:num w:numId="2" w16cid:durableId="2031449406">
    <w:abstractNumId w:val="37"/>
  </w:num>
  <w:num w:numId="3" w16cid:durableId="733237421">
    <w:abstractNumId w:val="48"/>
  </w:num>
  <w:num w:numId="4" w16cid:durableId="246229051">
    <w:abstractNumId w:val="54"/>
  </w:num>
  <w:num w:numId="5" w16cid:durableId="772751766">
    <w:abstractNumId w:val="31"/>
  </w:num>
  <w:num w:numId="6" w16cid:durableId="983463929">
    <w:abstractNumId w:val="20"/>
  </w:num>
  <w:num w:numId="7" w16cid:durableId="128283304">
    <w:abstractNumId w:val="36"/>
  </w:num>
  <w:num w:numId="8" w16cid:durableId="293292481">
    <w:abstractNumId w:val="17"/>
  </w:num>
  <w:num w:numId="9" w16cid:durableId="1684286218">
    <w:abstractNumId w:val="33"/>
  </w:num>
  <w:num w:numId="10" w16cid:durableId="1596866282">
    <w:abstractNumId w:val="25"/>
  </w:num>
  <w:num w:numId="11" w16cid:durableId="985670051">
    <w:abstractNumId w:val="47"/>
  </w:num>
  <w:num w:numId="12" w16cid:durableId="1639264132">
    <w:abstractNumId w:val="39"/>
  </w:num>
  <w:num w:numId="13" w16cid:durableId="829369338">
    <w:abstractNumId w:val="40"/>
  </w:num>
  <w:num w:numId="14" w16cid:durableId="709258229">
    <w:abstractNumId w:val="24"/>
  </w:num>
  <w:num w:numId="15" w16cid:durableId="1231229159">
    <w:abstractNumId w:val="34"/>
  </w:num>
  <w:num w:numId="16" w16cid:durableId="509638294">
    <w:abstractNumId w:val="15"/>
  </w:num>
  <w:num w:numId="17" w16cid:durableId="409736555">
    <w:abstractNumId w:val="44"/>
  </w:num>
  <w:num w:numId="18" w16cid:durableId="687370464">
    <w:abstractNumId w:val="21"/>
  </w:num>
  <w:num w:numId="19" w16cid:durableId="685793409">
    <w:abstractNumId w:val="11"/>
  </w:num>
  <w:num w:numId="20" w16cid:durableId="515653086">
    <w:abstractNumId w:val="12"/>
  </w:num>
  <w:num w:numId="21" w16cid:durableId="381640936">
    <w:abstractNumId w:val="28"/>
  </w:num>
  <w:num w:numId="22" w16cid:durableId="1737823713">
    <w:abstractNumId w:val="43"/>
  </w:num>
  <w:num w:numId="23" w16cid:durableId="857696913">
    <w:abstractNumId w:val="16"/>
  </w:num>
  <w:num w:numId="24" w16cid:durableId="903876922">
    <w:abstractNumId w:val="27"/>
  </w:num>
  <w:num w:numId="25" w16cid:durableId="321203819">
    <w:abstractNumId w:val="8"/>
  </w:num>
  <w:num w:numId="26" w16cid:durableId="80303310">
    <w:abstractNumId w:val="26"/>
  </w:num>
  <w:num w:numId="27" w16cid:durableId="1258558630">
    <w:abstractNumId w:val="35"/>
  </w:num>
  <w:num w:numId="28" w16cid:durableId="2083140160">
    <w:abstractNumId w:val="13"/>
  </w:num>
  <w:num w:numId="29" w16cid:durableId="1730768208">
    <w:abstractNumId w:val="51"/>
  </w:num>
  <w:num w:numId="30" w16cid:durableId="651717540">
    <w:abstractNumId w:val="14"/>
  </w:num>
  <w:num w:numId="31" w16cid:durableId="2108693355">
    <w:abstractNumId w:val="4"/>
  </w:num>
  <w:num w:numId="32" w16cid:durableId="2130664099">
    <w:abstractNumId w:val="45"/>
  </w:num>
  <w:num w:numId="33" w16cid:durableId="1895308711">
    <w:abstractNumId w:val="46"/>
  </w:num>
  <w:num w:numId="34" w16cid:durableId="1153527333">
    <w:abstractNumId w:val="7"/>
  </w:num>
  <w:num w:numId="35" w16cid:durableId="1795052656">
    <w:abstractNumId w:val="29"/>
  </w:num>
  <w:num w:numId="36" w16cid:durableId="1469011045">
    <w:abstractNumId w:val="55"/>
  </w:num>
  <w:num w:numId="37" w16cid:durableId="416902639">
    <w:abstractNumId w:val="0"/>
  </w:num>
  <w:num w:numId="38" w16cid:durableId="825054121">
    <w:abstractNumId w:val="10"/>
  </w:num>
  <w:num w:numId="39" w16cid:durableId="1831291111">
    <w:abstractNumId w:val="38"/>
  </w:num>
  <w:num w:numId="40" w16cid:durableId="2088764833">
    <w:abstractNumId w:val="53"/>
  </w:num>
  <w:num w:numId="41" w16cid:durableId="1332568209">
    <w:abstractNumId w:val="9"/>
  </w:num>
  <w:num w:numId="42" w16cid:durableId="575825875">
    <w:abstractNumId w:val="32"/>
  </w:num>
  <w:num w:numId="43" w16cid:durableId="837501558">
    <w:abstractNumId w:val="23"/>
  </w:num>
  <w:num w:numId="44" w16cid:durableId="1613316293">
    <w:abstractNumId w:val="18"/>
  </w:num>
  <w:num w:numId="45" w16cid:durableId="326638106">
    <w:abstractNumId w:val="56"/>
  </w:num>
  <w:num w:numId="46" w16cid:durableId="328220670">
    <w:abstractNumId w:val="5"/>
  </w:num>
  <w:num w:numId="47" w16cid:durableId="1743747360">
    <w:abstractNumId w:val="18"/>
    <w:lvlOverride w:ilvl="0">
      <w:startOverride w:val="1"/>
    </w:lvlOverride>
  </w:num>
  <w:num w:numId="48" w16cid:durableId="127824157">
    <w:abstractNumId w:val="1"/>
  </w:num>
  <w:num w:numId="49" w16cid:durableId="2136636172">
    <w:abstractNumId w:val="42"/>
  </w:num>
  <w:num w:numId="50" w16cid:durableId="1291789365">
    <w:abstractNumId w:val="49"/>
  </w:num>
  <w:num w:numId="51" w16cid:durableId="471215442">
    <w:abstractNumId w:val="3"/>
  </w:num>
  <w:num w:numId="52" w16cid:durableId="954949013">
    <w:abstractNumId w:val="52"/>
  </w:num>
  <w:num w:numId="53" w16cid:durableId="2049448147">
    <w:abstractNumId w:val="6"/>
  </w:num>
  <w:num w:numId="54" w16cid:durableId="956178662">
    <w:abstractNumId w:val="52"/>
    <w:lvlOverride w:ilvl="0">
      <w:startOverride w:val="1"/>
      <w:lvl w:ilvl="0">
        <w:start w:val="1"/>
        <w:numFmt w:val="decimal"/>
        <w:lvlText w:val="%1)"/>
        <w:lvlJc w:val="left"/>
        <w:pPr>
          <w:ind w:left="360" w:hanging="360"/>
        </w:pPr>
        <w:rPr>
          <w:b w:val="0"/>
          <w:sz w:val="24"/>
        </w:rPr>
      </w:lvl>
    </w:lvlOverride>
  </w:num>
  <w:num w:numId="55" w16cid:durableId="1439527238">
    <w:abstractNumId w:val="6"/>
    <w:lvlOverride w:ilvl="0">
      <w:startOverride w:val="1"/>
    </w:lvlOverride>
  </w:num>
  <w:num w:numId="56" w16cid:durableId="657537771">
    <w:abstractNumId w:val="50"/>
  </w:num>
  <w:num w:numId="57" w16cid:durableId="1722051601">
    <w:abstractNumId w:val="22"/>
  </w:num>
  <w:num w:numId="58" w16cid:durableId="639771227">
    <w:abstractNumId w:val="2"/>
  </w:num>
  <w:num w:numId="59" w16cid:durableId="437606547">
    <w:abstractNumId w:val="3"/>
    <w:lvlOverride w:ilvl="0">
      <w:lvl w:ilvl="0">
        <w:start w:val="1"/>
        <w:numFmt w:val="decimal"/>
        <w:lvlText w:val="%1)"/>
        <w:lvlJc w:val="left"/>
        <w:pPr>
          <w:ind w:left="218" w:hanging="360"/>
        </w:pPr>
      </w:lvl>
    </w:lvlOverride>
  </w:num>
  <w:num w:numId="60" w16cid:durableId="2109960689">
    <w:abstractNumId w:val="30"/>
  </w:num>
  <w:num w:numId="61" w16cid:durableId="1978413266">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1161"/>
    <w:rsid w:val="00007B28"/>
    <w:rsid w:val="00007E72"/>
    <w:rsid w:val="0001016A"/>
    <w:rsid w:val="00011439"/>
    <w:rsid w:val="00012548"/>
    <w:rsid w:val="00014A8A"/>
    <w:rsid w:val="000151F9"/>
    <w:rsid w:val="00015B95"/>
    <w:rsid w:val="00016F35"/>
    <w:rsid w:val="00017539"/>
    <w:rsid w:val="000179DD"/>
    <w:rsid w:val="0002118E"/>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388"/>
    <w:rsid w:val="00045936"/>
    <w:rsid w:val="00046CE9"/>
    <w:rsid w:val="000521B3"/>
    <w:rsid w:val="000530B3"/>
    <w:rsid w:val="00054A0B"/>
    <w:rsid w:val="0005502D"/>
    <w:rsid w:val="0005623C"/>
    <w:rsid w:val="0005768C"/>
    <w:rsid w:val="00061705"/>
    <w:rsid w:val="0006246E"/>
    <w:rsid w:val="00063C8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14BD"/>
    <w:rsid w:val="000923FE"/>
    <w:rsid w:val="00094B4F"/>
    <w:rsid w:val="00097C94"/>
    <w:rsid w:val="000A121A"/>
    <w:rsid w:val="000A12A1"/>
    <w:rsid w:val="000A1E59"/>
    <w:rsid w:val="000A2873"/>
    <w:rsid w:val="000A3677"/>
    <w:rsid w:val="000A43B7"/>
    <w:rsid w:val="000A4BC7"/>
    <w:rsid w:val="000B003C"/>
    <w:rsid w:val="000B1CE6"/>
    <w:rsid w:val="000B391F"/>
    <w:rsid w:val="000B3AD8"/>
    <w:rsid w:val="000B3F63"/>
    <w:rsid w:val="000B484D"/>
    <w:rsid w:val="000B4D5B"/>
    <w:rsid w:val="000B608D"/>
    <w:rsid w:val="000B7C6C"/>
    <w:rsid w:val="000C0411"/>
    <w:rsid w:val="000C08A0"/>
    <w:rsid w:val="000C2BD1"/>
    <w:rsid w:val="000C2C21"/>
    <w:rsid w:val="000C3885"/>
    <w:rsid w:val="000C557A"/>
    <w:rsid w:val="000C6086"/>
    <w:rsid w:val="000C69C9"/>
    <w:rsid w:val="000C6C44"/>
    <w:rsid w:val="000C6E02"/>
    <w:rsid w:val="000C735D"/>
    <w:rsid w:val="000C7629"/>
    <w:rsid w:val="000C7F8C"/>
    <w:rsid w:val="000D0DB6"/>
    <w:rsid w:val="000D1A54"/>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4B6F"/>
    <w:rsid w:val="00155272"/>
    <w:rsid w:val="00162512"/>
    <w:rsid w:val="001628D0"/>
    <w:rsid w:val="001637DD"/>
    <w:rsid w:val="0016477E"/>
    <w:rsid w:val="001648A5"/>
    <w:rsid w:val="00164971"/>
    <w:rsid w:val="00170449"/>
    <w:rsid w:val="0017194A"/>
    <w:rsid w:val="00172880"/>
    <w:rsid w:val="00173278"/>
    <w:rsid w:val="001734FC"/>
    <w:rsid w:val="0017395A"/>
    <w:rsid w:val="00177863"/>
    <w:rsid w:val="00177AAF"/>
    <w:rsid w:val="00180145"/>
    <w:rsid w:val="0018257D"/>
    <w:rsid w:val="0018285D"/>
    <w:rsid w:val="00187357"/>
    <w:rsid w:val="00187847"/>
    <w:rsid w:val="00190571"/>
    <w:rsid w:val="0019128D"/>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A13"/>
    <w:rsid w:val="001F0D7F"/>
    <w:rsid w:val="001F59AC"/>
    <w:rsid w:val="0020063A"/>
    <w:rsid w:val="0020454B"/>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279DC"/>
    <w:rsid w:val="00230F21"/>
    <w:rsid w:val="00232A4E"/>
    <w:rsid w:val="0023371F"/>
    <w:rsid w:val="00233A98"/>
    <w:rsid w:val="00233ED3"/>
    <w:rsid w:val="0023658A"/>
    <w:rsid w:val="00236611"/>
    <w:rsid w:val="00236739"/>
    <w:rsid w:val="00242490"/>
    <w:rsid w:val="002431BA"/>
    <w:rsid w:val="00245825"/>
    <w:rsid w:val="002469EF"/>
    <w:rsid w:val="00246F8D"/>
    <w:rsid w:val="002472E4"/>
    <w:rsid w:val="00247911"/>
    <w:rsid w:val="00247D6B"/>
    <w:rsid w:val="00250EE5"/>
    <w:rsid w:val="00251531"/>
    <w:rsid w:val="00251535"/>
    <w:rsid w:val="00253B05"/>
    <w:rsid w:val="00257810"/>
    <w:rsid w:val="0026342C"/>
    <w:rsid w:val="00263B56"/>
    <w:rsid w:val="00266790"/>
    <w:rsid w:val="002728AE"/>
    <w:rsid w:val="00272F11"/>
    <w:rsid w:val="00273F4D"/>
    <w:rsid w:val="00274D88"/>
    <w:rsid w:val="00275EB1"/>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A54"/>
    <w:rsid w:val="00295E81"/>
    <w:rsid w:val="00296DE6"/>
    <w:rsid w:val="00297AEF"/>
    <w:rsid w:val="00297BFA"/>
    <w:rsid w:val="002A0F60"/>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159"/>
    <w:rsid w:val="0031443E"/>
    <w:rsid w:val="0031500A"/>
    <w:rsid w:val="003150F2"/>
    <w:rsid w:val="0031567C"/>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6C69"/>
    <w:rsid w:val="00357B6B"/>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79FA"/>
    <w:rsid w:val="00397A9A"/>
    <w:rsid w:val="00397F46"/>
    <w:rsid w:val="003A11E7"/>
    <w:rsid w:val="003A126E"/>
    <w:rsid w:val="003A18B3"/>
    <w:rsid w:val="003A193C"/>
    <w:rsid w:val="003A1E63"/>
    <w:rsid w:val="003A24FE"/>
    <w:rsid w:val="003A25BB"/>
    <w:rsid w:val="003A3475"/>
    <w:rsid w:val="003A4F4E"/>
    <w:rsid w:val="003A5304"/>
    <w:rsid w:val="003A708D"/>
    <w:rsid w:val="003A74E9"/>
    <w:rsid w:val="003B0E8A"/>
    <w:rsid w:val="003B0EB5"/>
    <w:rsid w:val="003B20B9"/>
    <w:rsid w:val="003B36E0"/>
    <w:rsid w:val="003B41A6"/>
    <w:rsid w:val="003B44E5"/>
    <w:rsid w:val="003B4CE5"/>
    <w:rsid w:val="003B5E66"/>
    <w:rsid w:val="003B6AFB"/>
    <w:rsid w:val="003B6F18"/>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D79CB"/>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A55"/>
    <w:rsid w:val="003F7DE9"/>
    <w:rsid w:val="003F7E4E"/>
    <w:rsid w:val="00401C5E"/>
    <w:rsid w:val="00402BA7"/>
    <w:rsid w:val="00402D76"/>
    <w:rsid w:val="00403C90"/>
    <w:rsid w:val="00403EDD"/>
    <w:rsid w:val="00404C5E"/>
    <w:rsid w:val="004057F8"/>
    <w:rsid w:val="0040601A"/>
    <w:rsid w:val="004079F4"/>
    <w:rsid w:val="004110DE"/>
    <w:rsid w:val="00411635"/>
    <w:rsid w:val="00412BC8"/>
    <w:rsid w:val="00413FFC"/>
    <w:rsid w:val="004143FD"/>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3AAA"/>
    <w:rsid w:val="004546B5"/>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D5D47"/>
    <w:rsid w:val="004E234C"/>
    <w:rsid w:val="004E3152"/>
    <w:rsid w:val="004E35BF"/>
    <w:rsid w:val="004E3B96"/>
    <w:rsid w:val="004E4168"/>
    <w:rsid w:val="004E480A"/>
    <w:rsid w:val="004E54D8"/>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399A"/>
    <w:rsid w:val="00514BAF"/>
    <w:rsid w:val="00514F34"/>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1F6"/>
    <w:rsid w:val="00547C0C"/>
    <w:rsid w:val="0055085B"/>
    <w:rsid w:val="00551622"/>
    <w:rsid w:val="00551C33"/>
    <w:rsid w:val="00552834"/>
    <w:rsid w:val="005530A3"/>
    <w:rsid w:val="00554047"/>
    <w:rsid w:val="00554306"/>
    <w:rsid w:val="00557025"/>
    <w:rsid w:val="0055742C"/>
    <w:rsid w:val="00557547"/>
    <w:rsid w:val="005647AD"/>
    <w:rsid w:val="00565529"/>
    <w:rsid w:val="005668AF"/>
    <w:rsid w:val="00570F42"/>
    <w:rsid w:val="00571D0D"/>
    <w:rsid w:val="005741A8"/>
    <w:rsid w:val="005745E3"/>
    <w:rsid w:val="00575714"/>
    <w:rsid w:val="00577053"/>
    <w:rsid w:val="00580367"/>
    <w:rsid w:val="00580658"/>
    <w:rsid w:val="00581F72"/>
    <w:rsid w:val="0058231D"/>
    <w:rsid w:val="00582A48"/>
    <w:rsid w:val="00582C43"/>
    <w:rsid w:val="00583030"/>
    <w:rsid w:val="005835C9"/>
    <w:rsid w:val="005837FE"/>
    <w:rsid w:val="00584149"/>
    <w:rsid w:val="0058533D"/>
    <w:rsid w:val="00586515"/>
    <w:rsid w:val="00587187"/>
    <w:rsid w:val="00587F52"/>
    <w:rsid w:val="00591530"/>
    <w:rsid w:val="00592F37"/>
    <w:rsid w:val="00594BC1"/>
    <w:rsid w:val="00594F01"/>
    <w:rsid w:val="00595317"/>
    <w:rsid w:val="00595907"/>
    <w:rsid w:val="0059613E"/>
    <w:rsid w:val="005961F5"/>
    <w:rsid w:val="005969E5"/>
    <w:rsid w:val="005972FC"/>
    <w:rsid w:val="00597E80"/>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5FC9"/>
    <w:rsid w:val="00606657"/>
    <w:rsid w:val="00607D4C"/>
    <w:rsid w:val="0061324C"/>
    <w:rsid w:val="00614B79"/>
    <w:rsid w:val="006169DA"/>
    <w:rsid w:val="00617C7C"/>
    <w:rsid w:val="00621336"/>
    <w:rsid w:val="00625125"/>
    <w:rsid w:val="00625D61"/>
    <w:rsid w:val="006268D9"/>
    <w:rsid w:val="006320D5"/>
    <w:rsid w:val="00632588"/>
    <w:rsid w:val="0063334B"/>
    <w:rsid w:val="0063484C"/>
    <w:rsid w:val="006359EA"/>
    <w:rsid w:val="006374A7"/>
    <w:rsid w:val="00640D74"/>
    <w:rsid w:val="006430FD"/>
    <w:rsid w:val="00643296"/>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7D7B"/>
    <w:rsid w:val="006823F3"/>
    <w:rsid w:val="00683608"/>
    <w:rsid w:val="00683F59"/>
    <w:rsid w:val="0068680A"/>
    <w:rsid w:val="0068788A"/>
    <w:rsid w:val="00690FA6"/>
    <w:rsid w:val="006929D6"/>
    <w:rsid w:val="00692B88"/>
    <w:rsid w:val="00692F70"/>
    <w:rsid w:val="00695B51"/>
    <w:rsid w:val="00696ADA"/>
    <w:rsid w:val="006979D1"/>
    <w:rsid w:val="006A0EB1"/>
    <w:rsid w:val="006A21F6"/>
    <w:rsid w:val="006A4F2A"/>
    <w:rsid w:val="006A7A05"/>
    <w:rsid w:val="006B1ED3"/>
    <w:rsid w:val="006B2C8A"/>
    <w:rsid w:val="006B56F0"/>
    <w:rsid w:val="006B7547"/>
    <w:rsid w:val="006B7695"/>
    <w:rsid w:val="006B7746"/>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1B08"/>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2542"/>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4704"/>
    <w:rsid w:val="00735855"/>
    <w:rsid w:val="00744AEA"/>
    <w:rsid w:val="0074543F"/>
    <w:rsid w:val="00745DA7"/>
    <w:rsid w:val="00745F2F"/>
    <w:rsid w:val="00747543"/>
    <w:rsid w:val="007515D3"/>
    <w:rsid w:val="00752A2D"/>
    <w:rsid w:val="00753E87"/>
    <w:rsid w:val="00755614"/>
    <w:rsid w:val="007560A9"/>
    <w:rsid w:val="00762198"/>
    <w:rsid w:val="0077233A"/>
    <w:rsid w:val="00773D17"/>
    <w:rsid w:val="00775E5E"/>
    <w:rsid w:val="00777B35"/>
    <w:rsid w:val="007805F4"/>
    <w:rsid w:val="007838DB"/>
    <w:rsid w:val="00784131"/>
    <w:rsid w:val="0078519A"/>
    <w:rsid w:val="00786524"/>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AE5"/>
    <w:rsid w:val="007C2E1C"/>
    <w:rsid w:val="007C45F9"/>
    <w:rsid w:val="007C5D05"/>
    <w:rsid w:val="007C5F1D"/>
    <w:rsid w:val="007D0752"/>
    <w:rsid w:val="007D103B"/>
    <w:rsid w:val="007D2A6C"/>
    <w:rsid w:val="007D2B17"/>
    <w:rsid w:val="007D427B"/>
    <w:rsid w:val="007D4F6A"/>
    <w:rsid w:val="007D63B3"/>
    <w:rsid w:val="007D67B6"/>
    <w:rsid w:val="007D7898"/>
    <w:rsid w:val="007D79C4"/>
    <w:rsid w:val="007D7D9D"/>
    <w:rsid w:val="007E049F"/>
    <w:rsid w:val="007E1693"/>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F8E"/>
    <w:rsid w:val="008231AE"/>
    <w:rsid w:val="00823425"/>
    <w:rsid w:val="0082603D"/>
    <w:rsid w:val="00826E43"/>
    <w:rsid w:val="00831720"/>
    <w:rsid w:val="00832755"/>
    <w:rsid w:val="0083277D"/>
    <w:rsid w:val="008330F9"/>
    <w:rsid w:val="00834EA3"/>
    <w:rsid w:val="00835624"/>
    <w:rsid w:val="00835E4A"/>
    <w:rsid w:val="008372B2"/>
    <w:rsid w:val="00840152"/>
    <w:rsid w:val="00840160"/>
    <w:rsid w:val="00841A8B"/>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7FB"/>
    <w:rsid w:val="00904033"/>
    <w:rsid w:val="009050E2"/>
    <w:rsid w:val="00907000"/>
    <w:rsid w:val="00910EE4"/>
    <w:rsid w:val="00914132"/>
    <w:rsid w:val="00917A5D"/>
    <w:rsid w:val="00920833"/>
    <w:rsid w:val="0092167E"/>
    <w:rsid w:val="009220E3"/>
    <w:rsid w:val="00925C76"/>
    <w:rsid w:val="00925D68"/>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5826"/>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482"/>
    <w:rsid w:val="009724DF"/>
    <w:rsid w:val="009738D0"/>
    <w:rsid w:val="00974DFE"/>
    <w:rsid w:val="0097614A"/>
    <w:rsid w:val="00976556"/>
    <w:rsid w:val="00980372"/>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07448"/>
    <w:rsid w:val="00A10382"/>
    <w:rsid w:val="00A11B71"/>
    <w:rsid w:val="00A11F33"/>
    <w:rsid w:val="00A12D92"/>
    <w:rsid w:val="00A209C9"/>
    <w:rsid w:val="00A2163E"/>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4BB4"/>
    <w:rsid w:val="00A46B0B"/>
    <w:rsid w:val="00A476DE"/>
    <w:rsid w:val="00A514B6"/>
    <w:rsid w:val="00A51B3F"/>
    <w:rsid w:val="00A5232E"/>
    <w:rsid w:val="00A5234B"/>
    <w:rsid w:val="00A5424C"/>
    <w:rsid w:val="00A5798B"/>
    <w:rsid w:val="00A60B12"/>
    <w:rsid w:val="00A60EAD"/>
    <w:rsid w:val="00A622D6"/>
    <w:rsid w:val="00A6282E"/>
    <w:rsid w:val="00A63E6C"/>
    <w:rsid w:val="00A655B9"/>
    <w:rsid w:val="00A67961"/>
    <w:rsid w:val="00A67F8D"/>
    <w:rsid w:val="00A71B19"/>
    <w:rsid w:val="00A73B0F"/>
    <w:rsid w:val="00A76348"/>
    <w:rsid w:val="00A8003D"/>
    <w:rsid w:val="00A801C0"/>
    <w:rsid w:val="00A80AEA"/>
    <w:rsid w:val="00A80F8A"/>
    <w:rsid w:val="00A85EAD"/>
    <w:rsid w:val="00A87297"/>
    <w:rsid w:val="00A87478"/>
    <w:rsid w:val="00A8759C"/>
    <w:rsid w:val="00A91339"/>
    <w:rsid w:val="00A91907"/>
    <w:rsid w:val="00A9207B"/>
    <w:rsid w:val="00A92BEC"/>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0E6C"/>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55B"/>
    <w:rsid w:val="00B9200D"/>
    <w:rsid w:val="00B92F13"/>
    <w:rsid w:val="00B940EF"/>
    <w:rsid w:val="00B9474A"/>
    <w:rsid w:val="00B9655D"/>
    <w:rsid w:val="00B96B78"/>
    <w:rsid w:val="00B9741C"/>
    <w:rsid w:val="00BA0689"/>
    <w:rsid w:val="00BA2247"/>
    <w:rsid w:val="00BA303B"/>
    <w:rsid w:val="00BA4FBC"/>
    <w:rsid w:val="00BA6D52"/>
    <w:rsid w:val="00BA7D34"/>
    <w:rsid w:val="00BB063E"/>
    <w:rsid w:val="00BB13AE"/>
    <w:rsid w:val="00BB1698"/>
    <w:rsid w:val="00BB1B42"/>
    <w:rsid w:val="00BB6588"/>
    <w:rsid w:val="00BB73E8"/>
    <w:rsid w:val="00BB76F8"/>
    <w:rsid w:val="00BC1073"/>
    <w:rsid w:val="00BC13B2"/>
    <w:rsid w:val="00BC2478"/>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17E6"/>
    <w:rsid w:val="00C1201C"/>
    <w:rsid w:val="00C13094"/>
    <w:rsid w:val="00C1340B"/>
    <w:rsid w:val="00C15A87"/>
    <w:rsid w:val="00C16473"/>
    <w:rsid w:val="00C16546"/>
    <w:rsid w:val="00C20446"/>
    <w:rsid w:val="00C225F5"/>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608AB"/>
    <w:rsid w:val="00C609D8"/>
    <w:rsid w:val="00C60D41"/>
    <w:rsid w:val="00C61F4E"/>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6F14"/>
    <w:rsid w:val="00C92170"/>
    <w:rsid w:val="00C92A33"/>
    <w:rsid w:val="00C93666"/>
    <w:rsid w:val="00C938B8"/>
    <w:rsid w:val="00C9532A"/>
    <w:rsid w:val="00C95BE9"/>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2782"/>
    <w:rsid w:val="00CE4334"/>
    <w:rsid w:val="00CE5112"/>
    <w:rsid w:val="00CE54E0"/>
    <w:rsid w:val="00CE5693"/>
    <w:rsid w:val="00CE5944"/>
    <w:rsid w:val="00CE66F3"/>
    <w:rsid w:val="00CF07EC"/>
    <w:rsid w:val="00CF2987"/>
    <w:rsid w:val="00CF3FB9"/>
    <w:rsid w:val="00CF467A"/>
    <w:rsid w:val="00CF47B6"/>
    <w:rsid w:val="00CF5944"/>
    <w:rsid w:val="00CF5EF6"/>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017"/>
    <w:rsid w:val="00D7389E"/>
    <w:rsid w:val="00D758C2"/>
    <w:rsid w:val="00D77D8F"/>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2D2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0B4D"/>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07D6"/>
    <w:rsid w:val="00E310D2"/>
    <w:rsid w:val="00E32808"/>
    <w:rsid w:val="00E32E9E"/>
    <w:rsid w:val="00E341CD"/>
    <w:rsid w:val="00E34C19"/>
    <w:rsid w:val="00E36F3F"/>
    <w:rsid w:val="00E3713E"/>
    <w:rsid w:val="00E409F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183"/>
    <w:rsid w:val="00E708E1"/>
    <w:rsid w:val="00E70C5B"/>
    <w:rsid w:val="00E70E7D"/>
    <w:rsid w:val="00E72E22"/>
    <w:rsid w:val="00E7318F"/>
    <w:rsid w:val="00E74BAB"/>
    <w:rsid w:val="00E74EA1"/>
    <w:rsid w:val="00E75917"/>
    <w:rsid w:val="00E77F60"/>
    <w:rsid w:val="00E8091D"/>
    <w:rsid w:val="00E80ABE"/>
    <w:rsid w:val="00E80CBB"/>
    <w:rsid w:val="00E81643"/>
    <w:rsid w:val="00E828A4"/>
    <w:rsid w:val="00E83371"/>
    <w:rsid w:val="00E8422A"/>
    <w:rsid w:val="00E84AB8"/>
    <w:rsid w:val="00E85D10"/>
    <w:rsid w:val="00E90B9E"/>
    <w:rsid w:val="00E914EC"/>
    <w:rsid w:val="00E928E4"/>
    <w:rsid w:val="00E92B12"/>
    <w:rsid w:val="00E92E63"/>
    <w:rsid w:val="00E93BBE"/>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68"/>
    <w:rsid w:val="00EC45FB"/>
    <w:rsid w:val="00EC5B65"/>
    <w:rsid w:val="00EC6D36"/>
    <w:rsid w:val="00EC6F00"/>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4996"/>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5A6F"/>
    <w:rsid w:val="00F15DE4"/>
    <w:rsid w:val="00F173A6"/>
    <w:rsid w:val="00F23E7B"/>
    <w:rsid w:val="00F24B9B"/>
    <w:rsid w:val="00F25B22"/>
    <w:rsid w:val="00F25D2D"/>
    <w:rsid w:val="00F26F4F"/>
    <w:rsid w:val="00F30B73"/>
    <w:rsid w:val="00F315A0"/>
    <w:rsid w:val="00F31D80"/>
    <w:rsid w:val="00F32B0D"/>
    <w:rsid w:val="00F33181"/>
    <w:rsid w:val="00F3708F"/>
    <w:rsid w:val="00F40E76"/>
    <w:rsid w:val="00F422DF"/>
    <w:rsid w:val="00F43A18"/>
    <w:rsid w:val="00F46088"/>
    <w:rsid w:val="00F468E4"/>
    <w:rsid w:val="00F4720D"/>
    <w:rsid w:val="00F5187A"/>
    <w:rsid w:val="00F51C54"/>
    <w:rsid w:val="00F52A41"/>
    <w:rsid w:val="00F52C40"/>
    <w:rsid w:val="00F5474E"/>
    <w:rsid w:val="00F55E79"/>
    <w:rsid w:val="00F56763"/>
    <w:rsid w:val="00F56831"/>
    <w:rsid w:val="00F56B7E"/>
    <w:rsid w:val="00F57363"/>
    <w:rsid w:val="00F5767F"/>
    <w:rsid w:val="00F60406"/>
    <w:rsid w:val="00F60925"/>
    <w:rsid w:val="00F61D18"/>
    <w:rsid w:val="00F63628"/>
    <w:rsid w:val="00F64795"/>
    <w:rsid w:val="00F71B96"/>
    <w:rsid w:val="00F746B3"/>
    <w:rsid w:val="00F754E9"/>
    <w:rsid w:val="00F76470"/>
    <w:rsid w:val="00F765EE"/>
    <w:rsid w:val="00F779C7"/>
    <w:rsid w:val="00F77A1B"/>
    <w:rsid w:val="00F77FDE"/>
    <w:rsid w:val="00F859E3"/>
    <w:rsid w:val="00F86111"/>
    <w:rsid w:val="00F866D9"/>
    <w:rsid w:val="00F86B4E"/>
    <w:rsid w:val="00F87E4D"/>
    <w:rsid w:val="00F907D8"/>
    <w:rsid w:val="00F90B19"/>
    <w:rsid w:val="00F914DA"/>
    <w:rsid w:val="00F91F64"/>
    <w:rsid w:val="00F920CF"/>
    <w:rsid w:val="00F93293"/>
    <w:rsid w:val="00F93C01"/>
    <w:rsid w:val="00F9440E"/>
    <w:rsid w:val="00F956F1"/>
    <w:rsid w:val="00FA0BCF"/>
    <w:rsid w:val="00FA0FA3"/>
    <w:rsid w:val="00FA226F"/>
    <w:rsid w:val="00FA2AE5"/>
    <w:rsid w:val="00FA45C2"/>
    <w:rsid w:val="00FA4CDF"/>
    <w:rsid w:val="00FA4F5A"/>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831"/>
    <w:rsid w:val="00FF6D9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128D"/>
    <w:rPr>
      <w:sz w:val="24"/>
      <w:szCs w:val="24"/>
      <w:lang w:eastAsia="zh-CN"/>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lang w:eastAsia="pl-PL"/>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rPr>
      <w:lang w:eastAsia="pl-PL"/>
    </w:rPr>
  </w:style>
  <w:style w:type="paragraph" w:styleId="Nagwek9">
    <w:name w:val="heading 9"/>
    <w:basedOn w:val="Normalny"/>
    <w:next w:val="Normalny"/>
    <w:link w:val="Nagwek9Znak"/>
    <w:qFormat/>
    <w:rsid w:val="00BE21CB"/>
    <w:pPr>
      <w:keepNext/>
      <w:autoSpaceDE w:val="0"/>
      <w:autoSpaceDN w:val="0"/>
      <w:jc w:val="both"/>
      <w:outlineLvl w:val="8"/>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rPr>
      <w:lang w:eastAsia="pl-PL"/>
    </w:rPr>
  </w:style>
  <w:style w:type="paragraph" w:styleId="Lista">
    <w:name w:val="List"/>
    <w:basedOn w:val="Normalny"/>
    <w:rsid w:val="00BE21CB"/>
    <w:pPr>
      <w:autoSpaceDE w:val="0"/>
      <w:autoSpaceDN w:val="0"/>
      <w:ind w:left="283" w:hanging="283"/>
    </w:pPr>
    <w:rPr>
      <w:sz w:val="20"/>
      <w:szCs w:val="20"/>
      <w:lang w:eastAsia="pl-PL"/>
    </w:rPr>
  </w:style>
  <w:style w:type="paragraph" w:styleId="Lista3">
    <w:name w:val="List 3"/>
    <w:basedOn w:val="Normalny"/>
    <w:rsid w:val="00BE21CB"/>
    <w:pPr>
      <w:autoSpaceDE w:val="0"/>
      <w:autoSpaceDN w:val="0"/>
      <w:ind w:left="849" w:hanging="283"/>
    </w:pPr>
    <w:rPr>
      <w:sz w:val="20"/>
      <w:szCs w:val="20"/>
      <w:lang w:eastAsia="pl-PL"/>
    </w:rPr>
  </w:style>
  <w:style w:type="paragraph" w:styleId="Lista4">
    <w:name w:val="List 4"/>
    <w:basedOn w:val="Normalny"/>
    <w:rsid w:val="00BE21CB"/>
    <w:pPr>
      <w:autoSpaceDE w:val="0"/>
      <w:autoSpaceDN w:val="0"/>
      <w:ind w:left="1132" w:hanging="283"/>
    </w:pPr>
    <w:rPr>
      <w:sz w:val="20"/>
      <w:szCs w:val="20"/>
      <w:lang w:eastAsia="pl-PL"/>
    </w:rPr>
  </w:style>
  <w:style w:type="paragraph" w:styleId="Tekstpodstawowy">
    <w:name w:val="Body Text"/>
    <w:basedOn w:val="Normalny"/>
    <w:link w:val="TekstpodstawowyZnak"/>
    <w:rsid w:val="00BE21CB"/>
    <w:pPr>
      <w:spacing w:after="120"/>
    </w:pPr>
    <w:rPr>
      <w:lang w:eastAsia="pl-PL"/>
    </w:r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lang w:eastAsia="pl-PL"/>
    </w:rPr>
  </w:style>
  <w:style w:type="paragraph" w:styleId="Tekstpodstawowywcity2">
    <w:name w:val="Body Text Indent 2"/>
    <w:basedOn w:val="Normalny"/>
    <w:link w:val="Tekstpodstawowywcity2Znak"/>
    <w:rsid w:val="00BE21CB"/>
    <w:pPr>
      <w:spacing w:after="120" w:line="480" w:lineRule="auto"/>
      <w:ind w:left="283"/>
    </w:pPr>
    <w:rPr>
      <w:lang w:eastAsia="pl-PL"/>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lang w:eastAsia="pl-PL"/>
    </w:rPr>
  </w:style>
  <w:style w:type="paragraph" w:customStyle="1" w:styleId="Skrconyadreszwrotny">
    <w:name w:val="Skrócony adres zwrotny"/>
    <w:basedOn w:val="Normalny"/>
    <w:rsid w:val="00BE21CB"/>
    <w:pPr>
      <w:autoSpaceDE w:val="0"/>
      <w:autoSpaceDN w:val="0"/>
    </w:pPr>
    <w:rPr>
      <w:sz w:val="20"/>
      <w:szCs w:val="20"/>
      <w:lang w:eastAsia="pl-PL"/>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Normalny"/>
    <w:link w:val="AkapitzlistZnak"/>
    <w:uiPriority w:val="1"/>
    <w:qFormat/>
    <w:rsid w:val="00BE21CB"/>
    <w:pPr>
      <w:ind w:left="708"/>
    </w:pPr>
    <w:rPr>
      <w:lang w:eastAsia="pl-PL"/>
    </w:rPr>
  </w:style>
  <w:style w:type="paragraph" w:styleId="Podpis">
    <w:name w:val="Signature"/>
    <w:basedOn w:val="Normalny"/>
    <w:rsid w:val="00BE21CB"/>
    <w:pPr>
      <w:ind w:left="4252"/>
    </w:pPr>
    <w:rPr>
      <w:lang w:eastAsia="pl-PL"/>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lang w:eastAsia="pl-PL"/>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lang w:eastAsia="pl-PL"/>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lang w:eastAsia="pl-PL"/>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lang w:eastAsia="pl-PL"/>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lang w:eastAsia="pl-PL"/>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lang w:eastAsia="pl-PL"/>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rPr>
      <w:lang w:eastAsia="pl-PL"/>
    </w:r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eastAsia="pl-PL" w:bidi="pl-PL"/>
    </w:rPr>
  </w:style>
  <w:style w:type="paragraph" w:styleId="Bezodstpw">
    <w:name w:val="No Spacing"/>
    <w:uiPriority w:val="1"/>
    <w:qFormat/>
    <w:rsid w:val="00514F34"/>
    <w:pPr>
      <w:suppressAutoHyphens/>
    </w:pPr>
    <w:rPr>
      <w:rFonts w:ascii="Calibri" w:eastAsia="Calibri" w:hAnsi="Calibri"/>
      <w:lang w:eastAsia="ar-SA"/>
    </w:rPr>
  </w:style>
  <w:style w:type="numbering" w:customStyle="1" w:styleId="WWNum6">
    <w:name w:val="WWNum6"/>
    <w:basedOn w:val="Bezlisty"/>
    <w:rsid w:val="00295A54"/>
    <w:pPr>
      <w:numPr>
        <w:numId w:val="44"/>
      </w:numPr>
    </w:pPr>
  </w:style>
  <w:style w:type="numbering" w:customStyle="1" w:styleId="WWNum7">
    <w:name w:val="WWNum7"/>
    <w:basedOn w:val="Bezlisty"/>
    <w:rsid w:val="00295A54"/>
    <w:pPr>
      <w:numPr>
        <w:numId w:val="45"/>
      </w:numPr>
    </w:pPr>
  </w:style>
  <w:style w:type="numbering" w:customStyle="1" w:styleId="WWNum9">
    <w:name w:val="WWNum9"/>
    <w:basedOn w:val="Bezlisty"/>
    <w:rsid w:val="00295A54"/>
    <w:pPr>
      <w:numPr>
        <w:numId w:val="46"/>
      </w:numPr>
    </w:pPr>
  </w:style>
  <w:style w:type="numbering" w:customStyle="1" w:styleId="WWNum32">
    <w:name w:val="WWNum32"/>
    <w:basedOn w:val="Bezlisty"/>
    <w:rsid w:val="00BB73E8"/>
    <w:pPr>
      <w:numPr>
        <w:numId w:val="51"/>
      </w:numPr>
    </w:pPr>
  </w:style>
  <w:style w:type="numbering" w:customStyle="1" w:styleId="WWNum33">
    <w:name w:val="WWNum33"/>
    <w:basedOn w:val="Bezlisty"/>
    <w:rsid w:val="00BB73E8"/>
    <w:pPr>
      <w:numPr>
        <w:numId w:val="52"/>
      </w:numPr>
    </w:pPr>
  </w:style>
  <w:style w:type="numbering" w:customStyle="1" w:styleId="WWNum34">
    <w:name w:val="WWNum34"/>
    <w:basedOn w:val="Bezlisty"/>
    <w:rsid w:val="00BB73E8"/>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174954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58316065">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93097015">
      <w:bodyDiv w:val="1"/>
      <w:marLeft w:val="0"/>
      <w:marRight w:val="0"/>
      <w:marTop w:val="0"/>
      <w:marBottom w:val="0"/>
      <w:divBdr>
        <w:top w:val="none" w:sz="0" w:space="0" w:color="auto"/>
        <w:left w:val="none" w:sz="0" w:space="0" w:color="auto"/>
        <w:bottom w:val="none" w:sz="0" w:space="0" w:color="auto"/>
        <w:right w:val="none" w:sz="0" w:space="0" w:color="auto"/>
      </w:divBdr>
      <w:divsChild>
        <w:div w:id="2120903716">
          <w:marLeft w:val="360"/>
          <w:marRight w:val="0"/>
          <w:marTop w:val="72"/>
          <w:marBottom w:val="72"/>
          <w:divBdr>
            <w:top w:val="none" w:sz="0" w:space="0" w:color="auto"/>
            <w:left w:val="none" w:sz="0" w:space="0" w:color="auto"/>
            <w:bottom w:val="none" w:sz="0" w:space="0" w:color="auto"/>
            <w:right w:val="none" w:sz="0" w:space="0" w:color="auto"/>
          </w:divBdr>
          <w:divsChild>
            <w:div w:id="7879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84203558">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33053064">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142A-1D74-5A48-82D2-EEF2FDCC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11187</Words>
  <Characters>67127</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78158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5</cp:revision>
  <cp:lastPrinted>2022-04-08T10:31:00Z</cp:lastPrinted>
  <dcterms:created xsi:type="dcterms:W3CDTF">2024-03-08T09:58:00Z</dcterms:created>
  <dcterms:modified xsi:type="dcterms:W3CDTF">2024-03-15T07:11:00Z</dcterms:modified>
</cp:coreProperties>
</file>