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9443" w14:textId="734AD06D" w:rsidR="004F4B1F" w:rsidRDefault="004F4B1F" w:rsidP="00A41C29">
      <w:pPr>
        <w:jc w:val="center"/>
        <w:rPr>
          <w:b/>
          <w:bCs/>
          <w:sz w:val="28"/>
          <w:szCs w:val="28"/>
        </w:rPr>
      </w:pPr>
      <w:bookmarkStart w:id="0" w:name="_Hlk94509832"/>
    </w:p>
    <w:p w14:paraId="7F65537A" w14:textId="77777777" w:rsidR="004F4B1F" w:rsidRDefault="004F4B1F" w:rsidP="00A41C29">
      <w:pPr>
        <w:jc w:val="center"/>
        <w:rPr>
          <w:b/>
          <w:bCs/>
          <w:sz w:val="28"/>
          <w:szCs w:val="28"/>
        </w:rPr>
      </w:pPr>
    </w:p>
    <w:p w14:paraId="3C8F236D" w14:textId="530335F7" w:rsidR="00243B43" w:rsidRPr="008D5BBC" w:rsidRDefault="004C4FA2" w:rsidP="007268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Ogłoszenie o </w:t>
      </w:r>
      <w:r w:rsidR="00262331">
        <w:rPr>
          <w:b/>
          <w:bCs/>
          <w:sz w:val="28"/>
          <w:szCs w:val="28"/>
        </w:rPr>
        <w:t>zapytaniu ofertowym</w:t>
      </w:r>
    </w:p>
    <w:p w14:paraId="208C211F" w14:textId="08ACF841" w:rsidR="00841442" w:rsidRPr="00243B43" w:rsidRDefault="00841442" w:rsidP="0072682B">
      <w:pPr>
        <w:shd w:val="clear" w:color="auto" w:fill="FFFFFF"/>
        <w:rPr>
          <w:b/>
          <w:sz w:val="28"/>
        </w:rPr>
      </w:pPr>
      <w:bookmarkStart w:id="1" w:name="_Hlk93135362"/>
      <w:r w:rsidRPr="00243B43">
        <w:rPr>
          <w:b/>
          <w:bCs/>
          <w:sz w:val="28"/>
        </w:rPr>
        <w:t xml:space="preserve">na </w:t>
      </w:r>
      <w:bookmarkEnd w:id="1"/>
      <w:r w:rsidR="000C74DE">
        <w:rPr>
          <w:b/>
          <w:bCs/>
          <w:color w:val="0D0D0D"/>
          <w:sz w:val="28"/>
        </w:rPr>
        <w:t>zakup, dostawę laptopów wraz z oprogramowaniem systemowym oraz pakietem biurowym na potrzeby realizacji projektu Cyfrowa Gmina.</w:t>
      </w:r>
    </w:p>
    <w:p w14:paraId="3ADF54B0" w14:textId="77777777" w:rsidR="00841442" w:rsidRPr="00243B43" w:rsidRDefault="00841442" w:rsidP="00A41C29">
      <w:pPr>
        <w:shd w:val="clear" w:color="auto" w:fill="FFFFFF"/>
        <w:tabs>
          <w:tab w:val="left" w:pos="1665"/>
          <w:tab w:val="center" w:pos="4536"/>
        </w:tabs>
      </w:pPr>
      <w:r w:rsidRPr="00243B43">
        <w:rPr>
          <w:b/>
        </w:rPr>
        <w:tab/>
      </w:r>
      <w:r w:rsidRPr="00243B43">
        <w:rPr>
          <w:b/>
        </w:rPr>
        <w:tab/>
        <w:t> </w:t>
      </w:r>
    </w:p>
    <w:p w14:paraId="718FC583" w14:textId="6DC8416E" w:rsidR="008D5BBC" w:rsidRDefault="00841442" w:rsidP="00A41C29">
      <w:pPr>
        <w:shd w:val="clear" w:color="auto" w:fill="FFFFFF"/>
        <w:jc w:val="both"/>
        <w:rPr>
          <w:bCs/>
          <w:color w:val="0D0D0D"/>
        </w:rPr>
      </w:pPr>
      <w:r w:rsidRPr="00243B43">
        <w:rPr>
          <w:bCs/>
          <w:color w:val="0D0D0D"/>
        </w:rPr>
        <w:t xml:space="preserve">Postępowanie uwolnione </w:t>
      </w:r>
      <w:r w:rsidR="00B472A9">
        <w:rPr>
          <w:bCs/>
          <w:color w:val="0D0D0D"/>
        </w:rPr>
        <w:t xml:space="preserve">jest </w:t>
      </w:r>
      <w:r w:rsidRPr="00243B43">
        <w:rPr>
          <w:bCs/>
          <w:color w:val="0D0D0D"/>
        </w:rPr>
        <w:t xml:space="preserve">spod rygoru ustawy Prawo zamówień publicznych (Dz. U. </w:t>
      </w:r>
      <w:r w:rsidR="00B472A9">
        <w:rPr>
          <w:bCs/>
          <w:color w:val="0D0D0D"/>
        </w:rPr>
        <w:t xml:space="preserve">                   </w:t>
      </w:r>
      <w:r w:rsidRPr="00243B43">
        <w:rPr>
          <w:bCs/>
          <w:color w:val="0D0D0D"/>
        </w:rPr>
        <w:t>z 20</w:t>
      </w:r>
      <w:r w:rsidR="00CA2DA9">
        <w:rPr>
          <w:bCs/>
          <w:color w:val="0D0D0D"/>
        </w:rPr>
        <w:t>21</w:t>
      </w:r>
      <w:r w:rsidRPr="00243B43">
        <w:rPr>
          <w:bCs/>
          <w:color w:val="0D0D0D"/>
        </w:rPr>
        <w:t xml:space="preserve"> r. </w:t>
      </w:r>
      <w:r w:rsidR="001F1612" w:rsidRPr="00243B43">
        <w:rPr>
          <w:bCs/>
          <w:color w:val="0D0D0D"/>
        </w:rPr>
        <w:t xml:space="preserve">poz. </w:t>
      </w:r>
      <w:r w:rsidR="00CA2DA9">
        <w:rPr>
          <w:bCs/>
          <w:color w:val="0D0D0D"/>
        </w:rPr>
        <w:t>1129</w:t>
      </w:r>
      <w:r w:rsidR="004C4FA2">
        <w:rPr>
          <w:bCs/>
          <w:color w:val="0D0D0D"/>
        </w:rPr>
        <w:t xml:space="preserve"> i 1598</w:t>
      </w:r>
      <w:r w:rsidR="001F1612" w:rsidRPr="00243B43">
        <w:rPr>
          <w:bCs/>
          <w:color w:val="0D0D0D"/>
        </w:rPr>
        <w:t>) na podstawie</w:t>
      </w:r>
      <w:r w:rsidRPr="00243B43">
        <w:rPr>
          <w:bCs/>
          <w:color w:val="0D0D0D"/>
        </w:rPr>
        <w:t xml:space="preserve"> art. </w:t>
      </w:r>
      <w:r w:rsidR="00B472A9">
        <w:rPr>
          <w:bCs/>
          <w:color w:val="0D0D0D"/>
        </w:rPr>
        <w:t>2 ust. 1</w:t>
      </w:r>
      <w:r w:rsidRPr="00243B43">
        <w:rPr>
          <w:bCs/>
          <w:color w:val="0D0D0D"/>
        </w:rPr>
        <w:t xml:space="preserve"> </w:t>
      </w:r>
      <w:r w:rsidR="00C84B2D" w:rsidRPr="00243B43">
        <w:rPr>
          <w:bCs/>
          <w:color w:val="0D0D0D"/>
        </w:rPr>
        <w:t>pkt</w:t>
      </w:r>
      <w:r w:rsidRPr="00243B43">
        <w:rPr>
          <w:bCs/>
          <w:color w:val="0D0D0D"/>
        </w:rPr>
        <w:t xml:space="preserve"> </w:t>
      </w:r>
      <w:r w:rsidR="00B472A9">
        <w:rPr>
          <w:bCs/>
          <w:color w:val="0D0D0D"/>
        </w:rPr>
        <w:t>1</w:t>
      </w:r>
      <w:r w:rsidRPr="00243B43">
        <w:rPr>
          <w:bCs/>
          <w:color w:val="0D0D0D"/>
        </w:rPr>
        <w:t xml:space="preserve">. </w:t>
      </w:r>
    </w:p>
    <w:p w14:paraId="24C0C725" w14:textId="12CEFA81" w:rsidR="00841442" w:rsidRPr="00243B43" w:rsidRDefault="00841442" w:rsidP="00A41C29">
      <w:pPr>
        <w:shd w:val="clear" w:color="auto" w:fill="FFFFFF"/>
        <w:jc w:val="both"/>
      </w:pPr>
      <w:r w:rsidRPr="00243B43">
        <w:rPr>
          <w:bCs/>
          <w:color w:val="0D0D0D"/>
        </w:rPr>
        <w:t>Postępowanie uregulowane w oparciu</w:t>
      </w:r>
      <w:r w:rsidR="008D5BBC">
        <w:rPr>
          <w:bCs/>
          <w:color w:val="0D0D0D"/>
        </w:rPr>
        <w:t xml:space="preserve"> </w:t>
      </w:r>
      <w:r w:rsidRPr="00243B43">
        <w:rPr>
          <w:bCs/>
          <w:color w:val="0D0D0D"/>
        </w:rPr>
        <w:t>o Kodeks cywilny.</w:t>
      </w:r>
    </w:p>
    <w:p w14:paraId="2C07133A" w14:textId="77994A47" w:rsidR="006E7D6C" w:rsidRPr="00243B43" w:rsidRDefault="00841442" w:rsidP="00A41C29">
      <w:pPr>
        <w:shd w:val="clear" w:color="auto" w:fill="FFFFFF"/>
        <w:jc w:val="both"/>
      </w:pPr>
      <w:r w:rsidRPr="00243B43">
        <w:rPr>
          <w:bCs/>
          <w:color w:val="0D0D0D"/>
        </w:rPr>
        <w:t> </w:t>
      </w:r>
    </w:p>
    <w:p w14:paraId="50202D74" w14:textId="6BD73EBD" w:rsidR="00841442" w:rsidRDefault="00841442" w:rsidP="00A41C29">
      <w:pPr>
        <w:shd w:val="clear" w:color="auto" w:fill="FFFFFF"/>
        <w:tabs>
          <w:tab w:val="left" w:pos="245"/>
        </w:tabs>
        <w:jc w:val="both"/>
        <w:rPr>
          <w:bCs/>
          <w:color w:val="0D0D0D"/>
        </w:rPr>
      </w:pPr>
      <w:r w:rsidRPr="00243B43">
        <w:rPr>
          <w:b/>
          <w:bCs/>
          <w:color w:val="0D0D0D"/>
        </w:rPr>
        <w:t>1.</w:t>
      </w:r>
      <w:r w:rsidRPr="00243B43">
        <w:rPr>
          <w:b/>
          <w:bCs/>
          <w:color w:val="0D0D0D"/>
        </w:rPr>
        <w:tab/>
        <w:t>Nazwa zamawiającego</w:t>
      </w:r>
      <w:r w:rsidRPr="00243B43">
        <w:rPr>
          <w:bCs/>
          <w:color w:val="0D0D0D"/>
        </w:rPr>
        <w:t>:</w:t>
      </w:r>
    </w:p>
    <w:p w14:paraId="7D7C91D4" w14:textId="1EFBA1A5" w:rsidR="00841442" w:rsidRPr="00243B43" w:rsidRDefault="00841442" w:rsidP="00A41C29">
      <w:pPr>
        <w:jc w:val="center"/>
      </w:pPr>
      <w:r w:rsidRPr="00243B43">
        <w:t>Gmina</w:t>
      </w:r>
      <w:r w:rsidR="00FE5439">
        <w:t xml:space="preserve"> Ryczywół</w:t>
      </w:r>
    </w:p>
    <w:p w14:paraId="70B39D77" w14:textId="77777777" w:rsidR="00FE5439" w:rsidRPr="00FE5439" w:rsidRDefault="00FE5439" w:rsidP="00FE5439">
      <w:pPr>
        <w:jc w:val="center"/>
      </w:pPr>
      <w:r w:rsidRPr="00FE5439">
        <w:t>ul. Mickiewicza 10, 64-630 Ryczywół</w:t>
      </w:r>
    </w:p>
    <w:p w14:paraId="43F6F8DA" w14:textId="77777777" w:rsidR="00FE5439" w:rsidRPr="00FE5439" w:rsidRDefault="00865694" w:rsidP="00FE5439">
      <w:pPr>
        <w:jc w:val="center"/>
      </w:pPr>
      <w:r w:rsidRPr="00243B43">
        <w:t xml:space="preserve">tel.: </w:t>
      </w:r>
      <w:r w:rsidR="00FE5439">
        <w:t>67 2837002</w:t>
      </w:r>
      <w:r w:rsidRPr="00243B43">
        <w:t xml:space="preserve">, fax: </w:t>
      </w:r>
      <w:hyperlink r:id="rId7" w:history="1">
        <w:r w:rsidR="00FE5439" w:rsidRPr="00FE5439">
          <w:t>67 283 89 90</w:t>
        </w:r>
      </w:hyperlink>
    </w:p>
    <w:p w14:paraId="4D5A758A" w14:textId="74B5A02E" w:rsidR="00841442" w:rsidRPr="00243B43" w:rsidRDefault="00841442" w:rsidP="00A41C29">
      <w:pPr>
        <w:jc w:val="center"/>
      </w:pPr>
    </w:p>
    <w:p w14:paraId="225C13FD" w14:textId="77777777" w:rsidR="00841442" w:rsidRPr="00243B43" w:rsidRDefault="00841442" w:rsidP="00A41C29">
      <w:pPr>
        <w:jc w:val="both"/>
      </w:pPr>
      <w:r w:rsidRPr="00243B43">
        <w:rPr>
          <w:b/>
        </w:rPr>
        <w:t> </w:t>
      </w:r>
      <w:r w:rsidR="00F53FFB" w:rsidRPr="00243B43">
        <w:rPr>
          <w:b/>
        </w:rPr>
        <w:t xml:space="preserve"> </w:t>
      </w:r>
    </w:p>
    <w:p w14:paraId="4177971E" w14:textId="21F3A19F" w:rsidR="00841442" w:rsidRPr="00243B43" w:rsidRDefault="001F1612" w:rsidP="00A41C29">
      <w:pPr>
        <w:jc w:val="both"/>
      </w:pPr>
      <w:r w:rsidRPr="00243B43">
        <w:t>Osobą</w:t>
      </w:r>
      <w:r w:rsidR="00841442" w:rsidRPr="00243B43">
        <w:t xml:space="preserve"> upoważnion</w:t>
      </w:r>
      <w:r w:rsidRPr="00243B43">
        <w:t>ą</w:t>
      </w:r>
      <w:r w:rsidR="00841442" w:rsidRPr="00243B43">
        <w:t xml:space="preserve"> do kontaktu w zakresie przedmiotowego za</w:t>
      </w:r>
      <w:r w:rsidR="00262331">
        <w:t>pytania</w:t>
      </w:r>
      <w:r w:rsidR="00841442" w:rsidRPr="00243B43">
        <w:t xml:space="preserve"> </w:t>
      </w:r>
      <w:r w:rsidRPr="00243B43">
        <w:t>jest</w:t>
      </w:r>
      <w:r w:rsidR="00841442" w:rsidRPr="00243B43">
        <w:t>:</w:t>
      </w:r>
    </w:p>
    <w:p w14:paraId="23ED3B4F" w14:textId="0A3954D2" w:rsidR="00841442" w:rsidRPr="00243B43" w:rsidRDefault="00443C8F" w:rsidP="00A41C29">
      <w:pPr>
        <w:jc w:val="both"/>
      </w:pPr>
      <w:r>
        <w:t>Ewelina Mulka – Sekretarz Gminy Ryczywół</w:t>
      </w:r>
    </w:p>
    <w:p w14:paraId="4840B688" w14:textId="77777777" w:rsidR="00443C8F" w:rsidRDefault="00841442" w:rsidP="00443C8F">
      <w:r w:rsidRPr="00893359">
        <w:t>e</w:t>
      </w:r>
      <w:r w:rsidR="00CD1346" w:rsidRPr="00893359">
        <w:t>-</w:t>
      </w:r>
      <w:r w:rsidRPr="00893359">
        <w:t xml:space="preserve">mail: </w:t>
      </w:r>
      <w:hyperlink r:id="rId8" w:tooltip="mailto:sekretarz@ryczywol.pl" w:history="1">
        <w:r w:rsidR="00443C8F" w:rsidRPr="00443C8F">
          <w:t>sekretarz@ryczywol.pl</w:t>
        </w:r>
      </w:hyperlink>
    </w:p>
    <w:p w14:paraId="5F08FE45" w14:textId="75A74B4E" w:rsidR="00841442" w:rsidRPr="00893359" w:rsidRDefault="00841442" w:rsidP="00A41C29">
      <w:pPr>
        <w:jc w:val="both"/>
      </w:pPr>
    </w:p>
    <w:p w14:paraId="18BF7FAA" w14:textId="0B334BC9" w:rsidR="006E7D6C" w:rsidRPr="00893359" w:rsidRDefault="00516AEE" w:rsidP="00A41C29">
      <w:pPr>
        <w:shd w:val="clear" w:color="auto" w:fill="FFFFFF"/>
        <w:jc w:val="both"/>
      </w:pPr>
      <w:r w:rsidRPr="00893359">
        <w:rPr>
          <w:color w:val="0D0D0D"/>
        </w:rPr>
        <w:t xml:space="preserve"> </w:t>
      </w:r>
      <w:r w:rsidR="00841442" w:rsidRPr="00893359">
        <w:rPr>
          <w:color w:val="0D0D0D"/>
        </w:rPr>
        <w:t> </w:t>
      </w:r>
    </w:p>
    <w:p w14:paraId="281D8AC6" w14:textId="4A72B5A3" w:rsidR="00841442" w:rsidRDefault="00841442" w:rsidP="00A41C29">
      <w:pPr>
        <w:shd w:val="clear" w:color="auto" w:fill="FFFFFF"/>
        <w:tabs>
          <w:tab w:val="left" w:pos="245"/>
        </w:tabs>
        <w:jc w:val="both"/>
        <w:rPr>
          <w:bCs/>
          <w:color w:val="0D0D0D"/>
        </w:rPr>
      </w:pPr>
      <w:r w:rsidRPr="00243B43">
        <w:rPr>
          <w:b/>
          <w:bCs/>
          <w:color w:val="0D0D0D"/>
        </w:rPr>
        <w:t>2.</w:t>
      </w:r>
      <w:r w:rsidRPr="00243B43">
        <w:rPr>
          <w:b/>
          <w:bCs/>
          <w:color w:val="0D0D0D"/>
        </w:rPr>
        <w:tab/>
        <w:t>Przedmiot zamówienia</w:t>
      </w:r>
      <w:r w:rsidRPr="00243B43">
        <w:rPr>
          <w:bCs/>
          <w:color w:val="0D0D0D"/>
        </w:rPr>
        <w:t>:</w:t>
      </w:r>
    </w:p>
    <w:p w14:paraId="2DAF01C3" w14:textId="77777777" w:rsidR="001D38BC" w:rsidRPr="00243B43" w:rsidRDefault="001D38BC" w:rsidP="00A41C29">
      <w:pPr>
        <w:shd w:val="clear" w:color="auto" w:fill="FFFFFF"/>
        <w:tabs>
          <w:tab w:val="left" w:pos="245"/>
        </w:tabs>
        <w:jc w:val="both"/>
      </w:pPr>
    </w:p>
    <w:p w14:paraId="10E4CFA5" w14:textId="77777777" w:rsidR="009F70DF" w:rsidRDefault="004922B8" w:rsidP="0072682B">
      <w:pPr>
        <w:pStyle w:val="Bezodstpw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Przedmiotem</w:t>
      </w:r>
      <w:r w:rsidR="00262331"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</w:t>
      </w:r>
      <w:r w:rsidR="00262331"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pytania </w:t>
      </w:r>
      <w:r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</w:t>
      </w:r>
      <w:r w:rsidR="00262331"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80575" w:rsidRPr="002623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usługa polegająca na </w:t>
      </w:r>
      <w:r w:rsidR="000C74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zakupie i dostawie laptopów wraz z oprogramowaniem systemowym oraz pakietem biurowym</w:t>
      </w:r>
      <w:r w:rsidR="009F70D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edukacyjnym dla szkół:</w:t>
      </w:r>
    </w:p>
    <w:p w14:paraId="7CAE1F5C" w14:textId="21E6CB75" w:rsidR="009F70DF" w:rsidRDefault="009F70DF" w:rsidP="009F70DF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Szkoła Podstawowa im. Powstańców Wielkopolskich w Ryczywole</w:t>
      </w:r>
      <w:r w:rsidR="001D38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16 szt.</w:t>
      </w:r>
    </w:p>
    <w:p w14:paraId="46CA2A5A" w14:textId="05001B81" w:rsidR="009F70DF" w:rsidRDefault="001D38BC" w:rsidP="009F70DF">
      <w:pPr>
        <w:pStyle w:val="Bezodstpw"/>
        <w:numPr>
          <w:ilvl w:val="0"/>
          <w:numId w:val="24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Zespół Szkolno- Przedszkolny w Ludomach–</w:t>
      </w:r>
      <w:r w:rsidR="00653B5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Szkoła Podstawowa im. Karola Marcinkowskiego w Ludomach. 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16 szt</w:t>
      </w:r>
      <w:r w:rsidR="00653B5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4B29908" w14:textId="0CBD48FC" w:rsidR="006E7D6C" w:rsidRDefault="001304EB" w:rsidP="009F70DF">
      <w:pPr>
        <w:pStyle w:val="Bezodstpw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</w:t>
      </w:r>
      <w:r w:rsidR="00693CA8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wymogami </w:t>
      </w:r>
      <w:r w:rsidR="0072682B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Konkursu Grantowego Cyfrowa Gmina Os Priorytetowa V. Rozwój cyfrowy JST oraz wzmocnienie cyfrowej </w:t>
      </w:r>
      <w:r w:rsidR="00271F65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odporności</w:t>
      </w:r>
      <w:r w:rsidR="0072682B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</w:t>
      </w:r>
      <w:r w:rsidR="00271F65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zagrożenia</w:t>
      </w:r>
      <w:r w:rsidR="0072682B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- REACT-EU Działanie 5.1 Rozwój cyfrowy JST oraz wzmocnienie cyfrowej </w:t>
      </w:r>
      <w:r w:rsidR="00271F65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odporności</w:t>
      </w:r>
      <w:r w:rsidR="0072682B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</w:t>
      </w:r>
      <w:r w:rsidR="00271F65" w:rsidRPr="007268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zagrożenia</w:t>
      </w:r>
      <w:r w:rsidR="00304CA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4A59189" w14:textId="0C10AEB8" w:rsidR="00304CA2" w:rsidRPr="00F606B3" w:rsidRDefault="00304CA2" w:rsidP="009F70DF">
      <w:pPr>
        <w:pStyle w:val="Bezodstpw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16C5AEB" w14:textId="59FB4AC4" w:rsidR="00304CA2" w:rsidRPr="00F606B3" w:rsidRDefault="00304CA2" w:rsidP="009F70DF">
      <w:pPr>
        <w:pStyle w:val="Bezodstpw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606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Minimalne wymagania dla przedmiotu zamówienia „Laptop”</w:t>
      </w:r>
    </w:p>
    <w:p w14:paraId="18702A8E" w14:textId="77777777" w:rsidR="00304CA2" w:rsidRDefault="00304CA2" w:rsidP="009F70DF">
      <w:pPr>
        <w:pStyle w:val="Bezodstpw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904836C" w14:textId="4D1DCB89" w:rsidR="00304CA2" w:rsidRPr="00304CA2" w:rsidRDefault="00304CA2" w:rsidP="00304CA2">
      <w:pPr>
        <w:widowControl w:val="0"/>
        <w:ind w:right="142"/>
        <w:jc w:val="both"/>
        <w:rPr>
          <w:color w:val="000000" w:themeColor="text1"/>
        </w:rPr>
      </w:pPr>
      <w:r w:rsidRPr="00304CA2">
        <w:rPr>
          <w:color w:val="000000" w:themeColor="text1"/>
        </w:rPr>
        <w:t>Oferowany sprzęt musi być fabrycznie nowy, nieużywany oraz nieeksponowany na wystawach lub imprezach targowych, sprawny technicznie, bezpieczny, kompletny i gotowy do pracy, wyprodukowany nie wcześniej niż w 202</w:t>
      </w:r>
      <w:r w:rsidR="00642152">
        <w:rPr>
          <w:color w:val="000000" w:themeColor="text1"/>
        </w:rPr>
        <w:t>1</w:t>
      </w:r>
      <w:r w:rsidRPr="00304CA2">
        <w:rPr>
          <w:color w:val="000000" w:themeColor="text1"/>
        </w:rPr>
        <w:t xml:space="preserve"> r., a także musi spełniać wymagania techniczno-funkcjonalne wyszczególnione w poniższym opisie przedmiotu zamówienia.</w:t>
      </w:r>
    </w:p>
    <w:p w14:paraId="5349931B" w14:textId="77777777" w:rsidR="00304CA2" w:rsidRDefault="00304CA2" w:rsidP="009F70DF">
      <w:pPr>
        <w:pStyle w:val="Bezodstpw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tbl>
      <w:tblPr>
        <w:tblW w:w="10353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8084"/>
      </w:tblGrid>
      <w:tr w:rsidR="00642152" w:rsidRPr="003C2AF5" w14:paraId="6806C303" w14:textId="77777777" w:rsidTr="00492D94">
        <w:tc>
          <w:tcPr>
            <w:tcW w:w="426" w:type="dxa"/>
            <w:shd w:val="clear" w:color="auto" w:fill="E0E0E0"/>
            <w:vAlign w:val="center"/>
          </w:tcPr>
          <w:p w14:paraId="23E77DAD" w14:textId="77777777" w:rsidR="00642152" w:rsidRPr="003C2AF5" w:rsidRDefault="00642152" w:rsidP="00492D94">
            <w:pPr>
              <w:pStyle w:val="Tabelapozycja"/>
              <w:jc w:val="center"/>
              <w:rPr>
                <w:rFonts w:ascii="Bookman Old Style" w:eastAsia="Times New Roman" w:hAnsi="Bookman Old Style" w:cs="Tahoma"/>
                <w:b/>
                <w:sz w:val="20"/>
                <w:lang w:eastAsia="en-US"/>
              </w:rPr>
            </w:pPr>
            <w:r w:rsidRPr="003C2AF5">
              <w:rPr>
                <w:rFonts w:ascii="Bookman Old Style" w:eastAsia="Times New Roman" w:hAnsi="Bookman Old Style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02CD2DAB" w14:textId="77777777" w:rsidR="00642152" w:rsidRPr="003C2AF5" w:rsidRDefault="00642152" w:rsidP="00492D94">
            <w:pPr>
              <w:jc w:val="center"/>
              <w:rPr>
                <w:rFonts w:ascii="Bookman Old Style" w:hAnsi="Bookman Old Style" w:cs="Tahoma"/>
                <w:b/>
                <w:sz w:val="20"/>
              </w:rPr>
            </w:pPr>
            <w:r w:rsidRPr="003C2AF5">
              <w:rPr>
                <w:rFonts w:ascii="Bookman Old Style" w:hAnsi="Bookman Old Style" w:cs="Tahoma"/>
                <w:b/>
                <w:sz w:val="20"/>
              </w:rPr>
              <w:t>Nazwa komponentu</w:t>
            </w:r>
          </w:p>
        </w:tc>
        <w:tc>
          <w:tcPr>
            <w:tcW w:w="8084" w:type="dxa"/>
            <w:shd w:val="clear" w:color="auto" w:fill="E0E0E0"/>
            <w:vAlign w:val="center"/>
          </w:tcPr>
          <w:p w14:paraId="145DA81B" w14:textId="77777777" w:rsidR="00642152" w:rsidRPr="003C2AF5" w:rsidRDefault="00642152" w:rsidP="00492D94">
            <w:pPr>
              <w:ind w:left="-71"/>
              <w:jc w:val="center"/>
              <w:rPr>
                <w:rFonts w:ascii="Bookman Old Style" w:hAnsi="Bookman Old Style" w:cs="Tahoma"/>
                <w:b/>
                <w:color w:val="FF0000"/>
                <w:sz w:val="20"/>
              </w:rPr>
            </w:pPr>
            <w:r w:rsidRPr="003C2AF5">
              <w:rPr>
                <w:rFonts w:ascii="Bookman Old Style" w:hAnsi="Bookman Old Style" w:cs="Tahoma"/>
                <w:b/>
                <w:sz w:val="20"/>
              </w:rPr>
              <w:t>Wymagane minimalne parametry techniczne komputerów</w:t>
            </w:r>
          </w:p>
        </w:tc>
      </w:tr>
      <w:tr w:rsidR="00642152" w:rsidRPr="003C2AF5" w14:paraId="76B77033" w14:textId="77777777" w:rsidTr="00492D94">
        <w:tc>
          <w:tcPr>
            <w:tcW w:w="426" w:type="dxa"/>
          </w:tcPr>
          <w:p w14:paraId="66744B90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1683CEB9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Typ</w:t>
            </w:r>
          </w:p>
        </w:tc>
        <w:tc>
          <w:tcPr>
            <w:tcW w:w="8084" w:type="dxa"/>
          </w:tcPr>
          <w:p w14:paraId="599E48E7" w14:textId="77777777" w:rsidR="00642152" w:rsidRPr="00F048FB" w:rsidRDefault="00642152" w:rsidP="00492D94">
            <w:pPr>
              <w:outlineLvl w:val="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FHD (1920x1080) w technologii LED przeciwodblaskowy, jasność min 250 nitów</w:t>
            </w:r>
          </w:p>
          <w:p w14:paraId="285F9A84" w14:textId="77777777" w:rsidR="00642152" w:rsidRPr="00F048FB" w:rsidRDefault="00642152" w:rsidP="00492D94">
            <w:pPr>
              <w:outlineLvl w:val="0"/>
              <w:rPr>
                <w:rFonts w:ascii="Bookman Old Style" w:hAnsi="Bookman Old Style" w:cs="Tahoma"/>
                <w:b/>
                <w:sz w:val="20"/>
              </w:rPr>
            </w:pPr>
          </w:p>
        </w:tc>
      </w:tr>
      <w:tr w:rsidR="00642152" w:rsidRPr="003C2AF5" w14:paraId="716451EA" w14:textId="77777777" w:rsidTr="00492D94">
        <w:trPr>
          <w:trHeight w:val="832"/>
        </w:trPr>
        <w:tc>
          <w:tcPr>
            <w:tcW w:w="426" w:type="dxa"/>
          </w:tcPr>
          <w:p w14:paraId="765841D8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32E2FC46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Zastosowanie</w:t>
            </w:r>
          </w:p>
        </w:tc>
        <w:tc>
          <w:tcPr>
            <w:tcW w:w="8084" w:type="dxa"/>
          </w:tcPr>
          <w:p w14:paraId="48F4C632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sz w:val="20"/>
              </w:rPr>
              <w:t xml:space="preserve">Komputer będzie wykorzystywany dla potrzeb aplikacji biurowych, aplikacji edukacyjnych, aplikacji obliczeniowych, dostępu do </w:t>
            </w:r>
            <w:proofErr w:type="spellStart"/>
            <w:r w:rsidRPr="00F048FB">
              <w:rPr>
                <w:rFonts w:ascii="Bookman Old Style" w:hAnsi="Bookman Old Style" w:cs="Tahoma"/>
                <w:sz w:val="20"/>
              </w:rPr>
              <w:t>internetu</w:t>
            </w:r>
            <w:proofErr w:type="spellEnd"/>
            <w:r w:rsidRPr="00F048FB">
              <w:rPr>
                <w:rFonts w:ascii="Bookman Old Style" w:hAnsi="Bookman Old Style" w:cs="Tahoma"/>
                <w:sz w:val="20"/>
              </w:rPr>
              <w:t xml:space="preserve"> oraz poczty elektronicznej, jako lokalna baza danych, stacja programistyczna</w:t>
            </w:r>
          </w:p>
        </w:tc>
      </w:tr>
      <w:tr w:rsidR="00642152" w:rsidRPr="003C2AF5" w14:paraId="5A87DE6B" w14:textId="77777777" w:rsidTr="00492D94">
        <w:tc>
          <w:tcPr>
            <w:tcW w:w="426" w:type="dxa"/>
          </w:tcPr>
          <w:p w14:paraId="30A77179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22B9055A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Procesor</w:t>
            </w:r>
          </w:p>
        </w:tc>
        <w:tc>
          <w:tcPr>
            <w:tcW w:w="8084" w:type="dxa"/>
          </w:tcPr>
          <w:p w14:paraId="2F0F11BB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eastAsia="en-US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 xml:space="preserve">Procesor klasy x86, 4-o rdzeniowy, zaprojektowany do pracy w komputerach przenośnych, taktowany zegarem, co najmniej </w:t>
            </w:r>
            <w:r>
              <w:rPr>
                <w:rFonts w:ascii="Bookman Old Style" w:hAnsi="Bookman Old Style" w:cs="Tahoma"/>
                <w:bCs/>
                <w:sz w:val="20"/>
                <w:lang w:eastAsia="en-US"/>
              </w:rPr>
              <w:t>2</w:t>
            </w: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>,G</w:t>
            </w:r>
            <w:r>
              <w:rPr>
                <w:rFonts w:ascii="Bookman Old Style" w:hAnsi="Bookman Old Style" w:cs="Tahoma"/>
                <w:bCs/>
                <w:sz w:val="20"/>
                <w:lang w:eastAsia="en-US"/>
              </w:rPr>
              <w:t xml:space="preserve">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>Hz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>, z pamięcią cache L3 co najmniej 8 MB, lub równoważny 4-o rdzeniowy procesor klasy x86</w:t>
            </w:r>
          </w:p>
          <w:p w14:paraId="70280A13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eastAsia="en-US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lastRenderedPageBreak/>
              <w:t>Zaoferowany procesor musi uzyskiwać jednocześnie w teście Passmark CPU Mark wynik min.: 100</w:t>
            </w:r>
            <w:r>
              <w:rPr>
                <w:rFonts w:ascii="Bookman Old Style" w:hAnsi="Bookman Old Style" w:cs="Tahoma"/>
                <w:bCs/>
                <w:sz w:val="20"/>
                <w:lang w:eastAsia="en-US"/>
              </w:rPr>
              <w:t>30</w:t>
            </w: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 xml:space="preserve"> punktów (wynik zaproponowanego procesora musi znajdować się na stronie </w:t>
            </w:r>
            <w:hyperlink r:id="rId9" w:history="1">
              <w:r w:rsidRPr="00F048FB">
                <w:rPr>
                  <w:rStyle w:val="Hipercze"/>
                  <w:rFonts w:ascii="Bookman Old Style" w:hAnsi="Bookman Old Style" w:cs="Tahoma"/>
                  <w:bCs/>
                  <w:sz w:val="20"/>
                  <w:lang w:eastAsia="en-US"/>
                </w:rPr>
                <w:t>http://www.cpubenchmark.net</w:t>
              </w:r>
            </w:hyperlink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 xml:space="preserve"> ) – wydruk ze strony należy dołączyć do oferty. </w:t>
            </w:r>
          </w:p>
          <w:p w14:paraId="4B175E42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eastAsia="en-US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>W przypadku użycia przez oferenta testów wydajności Zamawiający zastrzega sobie, iż w celu sprawdzenia poprawności przeprowadzenia testów oferent musi dostarczyć zamawiającemu oprogramowanie testujące, oba równoważne porównywalne zestawy oraz dokładny opis użytych testów wraz z wynikami w celu ich sprawdzenia w terminie nie dłuższym niż 3 dni od otrzymania zawiadomienia od zamawiającego.</w:t>
            </w:r>
          </w:p>
        </w:tc>
      </w:tr>
      <w:tr w:rsidR="00642152" w:rsidRPr="003C2AF5" w14:paraId="04C2883C" w14:textId="77777777" w:rsidTr="00492D94">
        <w:tc>
          <w:tcPr>
            <w:tcW w:w="426" w:type="dxa"/>
          </w:tcPr>
          <w:p w14:paraId="296CA3E9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47D8F0D8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Pamięć operacyjna RAM</w:t>
            </w:r>
          </w:p>
        </w:tc>
        <w:tc>
          <w:tcPr>
            <w:tcW w:w="8084" w:type="dxa"/>
          </w:tcPr>
          <w:p w14:paraId="689C6815" w14:textId="77777777" w:rsidR="00642152" w:rsidRPr="00F048FB" w:rsidRDefault="00642152" w:rsidP="00492D94">
            <w:pPr>
              <w:rPr>
                <w:rFonts w:ascii="Bookman Old Style" w:hAnsi="Bookman Old Style" w:cs="Tahoma"/>
                <w:sz w:val="20"/>
              </w:rPr>
            </w:pPr>
            <w:r w:rsidRPr="00F048FB">
              <w:rPr>
                <w:rFonts w:ascii="Bookman Old Style" w:hAnsi="Bookman Old Style" w:cs="Tahoma"/>
                <w:sz w:val="20"/>
              </w:rPr>
              <w:t xml:space="preserve">1 x 8GB DDR4-2666, możliwość rozbudowy do min 16GB </w:t>
            </w:r>
          </w:p>
          <w:p w14:paraId="5351D0C2" w14:textId="77777777" w:rsidR="00642152" w:rsidRPr="00F048FB" w:rsidRDefault="00642152" w:rsidP="00492D94">
            <w:pPr>
              <w:rPr>
                <w:rFonts w:ascii="Bookman Old Style" w:hAnsi="Bookman Old Style" w:cs="Tahoma"/>
                <w:sz w:val="20"/>
              </w:rPr>
            </w:pPr>
          </w:p>
        </w:tc>
      </w:tr>
      <w:tr w:rsidR="00642152" w:rsidRPr="00BE6A4F" w14:paraId="2048F5FD" w14:textId="77777777" w:rsidTr="00492D94">
        <w:tc>
          <w:tcPr>
            <w:tcW w:w="426" w:type="dxa"/>
          </w:tcPr>
          <w:p w14:paraId="35F10C89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7B7ABA15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Parametry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pamieci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masowej</w:t>
            </w:r>
          </w:p>
        </w:tc>
        <w:tc>
          <w:tcPr>
            <w:tcW w:w="8084" w:type="dxa"/>
          </w:tcPr>
          <w:p w14:paraId="2E41C16C" w14:textId="77777777" w:rsidR="00642152" w:rsidRPr="00F048FB" w:rsidRDefault="00642152" w:rsidP="00492D94">
            <w:pPr>
              <w:rPr>
                <w:rFonts w:ascii="Bookman Old Style" w:hAnsi="Bookman Old Style" w:cs="Tahoma"/>
                <w:sz w:val="20"/>
                <w:lang w:eastAsia="en-US"/>
              </w:rPr>
            </w:pPr>
            <w:r w:rsidRPr="00F048FB">
              <w:rPr>
                <w:rFonts w:ascii="Bookman Old Style" w:hAnsi="Bookman Old Style" w:cs="Tahoma"/>
                <w:sz w:val="20"/>
                <w:lang w:eastAsia="en-US"/>
              </w:rPr>
              <w:t xml:space="preserve">Min. 256 GB SSD </w:t>
            </w:r>
            <w:proofErr w:type="spellStart"/>
            <w:r w:rsidRPr="00F048FB">
              <w:rPr>
                <w:rFonts w:ascii="Bookman Old Style" w:hAnsi="Bookman Old Style" w:cs="Tahoma"/>
                <w:sz w:val="20"/>
                <w:lang w:eastAsia="en-US"/>
              </w:rPr>
              <w:t>PCIe</w:t>
            </w:r>
            <w:proofErr w:type="spellEnd"/>
            <w:r w:rsidRPr="00F048FB">
              <w:rPr>
                <w:rFonts w:ascii="Bookman Old Style" w:hAnsi="Bookman Old Style" w:cs="Tahoma"/>
                <w:sz w:val="20"/>
                <w:lang w:eastAsia="en-US"/>
              </w:rPr>
              <w:t xml:space="preserve"> </w:t>
            </w:r>
            <w:proofErr w:type="spellStart"/>
            <w:r w:rsidRPr="00F048FB">
              <w:rPr>
                <w:rFonts w:ascii="Bookman Old Style" w:hAnsi="Bookman Old Style" w:cs="Tahoma"/>
                <w:sz w:val="20"/>
                <w:lang w:eastAsia="en-US"/>
              </w:rPr>
              <w:t>NVMe</w:t>
            </w:r>
            <w:proofErr w:type="spellEnd"/>
          </w:p>
          <w:p w14:paraId="2BA62793" w14:textId="77777777" w:rsidR="00642152" w:rsidRPr="00F048FB" w:rsidRDefault="00642152" w:rsidP="00492D94">
            <w:pPr>
              <w:rPr>
                <w:rFonts w:ascii="Bookman Old Style" w:hAnsi="Bookman Old Style" w:cs="Tahoma"/>
                <w:sz w:val="20"/>
                <w:lang w:eastAsia="en-US"/>
              </w:rPr>
            </w:pPr>
          </w:p>
        </w:tc>
      </w:tr>
      <w:tr w:rsidR="00642152" w:rsidRPr="0072622A" w14:paraId="260A62BA" w14:textId="77777777" w:rsidTr="00492D94">
        <w:tc>
          <w:tcPr>
            <w:tcW w:w="426" w:type="dxa"/>
          </w:tcPr>
          <w:p w14:paraId="2A11BE9B" w14:textId="77777777" w:rsidR="00642152" w:rsidRPr="00BE6A4F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05CA1608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Karta graficzna</w:t>
            </w:r>
          </w:p>
        </w:tc>
        <w:tc>
          <w:tcPr>
            <w:tcW w:w="8084" w:type="dxa"/>
          </w:tcPr>
          <w:p w14:paraId="34BBDC97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eastAsia="en-US"/>
              </w:rPr>
            </w:pPr>
            <w:r w:rsidRPr="00F048FB">
              <w:rPr>
                <w:rFonts w:ascii="Bookman Old Style" w:hAnsi="Bookman Old Style" w:cs="Tahoma"/>
                <w:sz w:val="20"/>
              </w:rPr>
              <w:t xml:space="preserve">Zintegrowana w procesorze z możliwością dynamicznego przydzielenia pamięci systemowej, ze sprzętowym wsparciem dla DirectX 12, osiągająca w teście </w:t>
            </w:r>
            <w:proofErr w:type="spellStart"/>
            <w:r w:rsidRPr="00F048FB">
              <w:rPr>
                <w:rFonts w:ascii="Bookman Old Style" w:hAnsi="Bookman Old Style" w:cs="Tahoma"/>
                <w:sz w:val="20"/>
              </w:rPr>
              <w:t>Average</w:t>
            </w:r>
            <w:proofErr w:type="spellEnd"/>
            <w:r w:rsidRPr="00F048FB">
              <w:rPr>
                <w:rFonts w:ascii="Bookman Old Style" w:hAnsi="Bookman Old Style" w:cs="Tahoma"/>
                <w:sz w:val="20"/>
              </w:rPr>
              <w:t xml:space="preserve"> G3D Mark wynik na poziomie min.: </w:t>
            </w:r>
            <w:r>
              <w:rPr>
                <w:rFonts w:ascii="Bookman Old Style" w:hAnsi="Bookman Old Style" w:cs="Tahoma"/>
                <w:sz w:val="20"/>
              </w:rPr>
              <w:t>1600</w:t>
            </w:r>
            <w:r w:rsidRPr="00F048FB">
              <w:rPr>
                <w:rFonts w:ascii="Bookman Old Style" w:hAnsi="Bookman Old Style" w:cs="Tahoma"/>
                <w:sz w:val="20"/>
              </w:rPr>
              <w:t xml:space="preserve"> punktów </w:t>
            </w: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 xml:space="preserve">(wynik zaproponowanej grafiki musi znajdować się na stronie </w:t>
            </w:r>
            <w:hyperlink r:id="rId10" w:history="1">
              <w:r w:rsidRPr="00F048FB">
                <w:rPr>
                  <w:rStyle w:val="Hipercze"/>
                  <w:rFonts w:ascii="Bookman Old Style" w:hAnsi="Bookman Old Style" w:cs="Tahoma"/>
                  <w:bCs/>
                  <w:sz w:val="20"/>
                  <w:lang w:eastAsia="en-US"/>
                </w:rPr>
                <w:t>http://www.videocardbenchmark.net</w:t>
              </w:r>
            </w:hyperlink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>) – wydruk ze strony należy dołączyć do oferty</w:t>
            </w:r>
          </w:p>
        </w:tc>
      </w:tr>
      <w:tr w:rsidR="00642152" w:rsidRPr="00F048FB" w14:paraId="0D75FE73" w14:textId="77777777" w:rsidTr="00492D94">
        <w:tc>
          <w:tcPr>
            <w:tcW w:w="426" w:type="dxa"/>
          </w:tcPr>
          <w:p w14:paraId="777A3330" w14:textId="77777777" w:rsidR="00642152" w:rsidRPr="0072622A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260AAC6E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Wyposażenie multimedialne</w:t>
            </w:r>
          </w:p>
        </w:tc>
        <w:tc>
          <w:tcPr>
            <w:tcW w:w="8084" w:type="dxa"/>
          </w:tcPr>
          <w:p w14:paraId="0285B256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Karta dźwiękowa stereo, wbudowane 2 głośniki (stereo)</w:t>
            </w:r>
          </w:p>
          <w:p w14:paraId="5E172D76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Wbudowany w obudowę matrycy mikrofon wraz z kamerą min VG</w:t>
            </w:r>
            <w:r w:rsidRPr="00F048FB">
              <w:rPr>
                <w:rFonts w:ascii="Bookman Old Style" w:hAnsi="Bookman Old Style" w:cs="Tahoma"/>
                <w:b/>
                <w:sz w:val="20"/>
              </w:rPr>
              <w:t xml:space="preserve"> </w:t>
            </w:r>
          </w:p>
          <w:p w14:paraId="3A37E5C1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val="en-US"/>
              </w:rPr>
            </w:pP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  <w:lang w:val="en-US"/>
              </w:rPr>
              <w:t>Wbudowana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  <w:lang w:val="en-US"/>
              </w:rPr>
              <w:t xml:space="preserve">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  <w:lang w:val="en-US"/>
              </w:rPr>
              <w:t>Kamera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  <w:lang w:val="en-US"/>
              </w:rPr>
              <w:t xml:space="preserve"> HD </w:t>
            </w:r>
          </w:p>
        </w:tc>
      </w:tr>
      <w:tr w:rsidR="00642152" w:rsidRPr="003C2AF5" w14:paraId="63534FCD" w14:textId="77777777" w:rsidTr="00492D94">
        <w:tc>
          <w:tcPr>
            <w:tcW w:w="426" w:type="dxa"/>
          </w:tcPr>
          <w:p w14:paraId="02AF3362" w14:textId="77777777" w:rsidR="00642152" w:rsidRPr="003C48B4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  <w:lang w:val="en-US"/>
              </w:rPr>
            </w:pPr>
          </w:p>
        </w:tc>
        <w:tc>
          <w:tcPr>
            <w:tcW w:w="1843" w:type="dxa"/>
          </w:tcPr>
          <w:p w14:paraId="1652F385" w14:textId="77777777" w:rsidR="00642152" w:rsidRPr="00F048FB" w:rsidRDefault="00642152" w:rsidP="00492D94">
            <w:pPr>
              <w:ind w:left="360" w:hanging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Wymagania dotyczące baterii i zasilania</w:t>
            </w:r>
          </w:p>
        </w:tc>
        <w:tc>
          <w:tcPr>
            <w:tcW w:w="8084" w:type="dxa"/>
          </w:tcPr>
          <w:p w14:paraId="075502A6" w14:textId="77777777" w:rsidR="00642152" w:rsidRPr="00F048FB" w:rsidRDefault="00642152" w:rsidP="00492D94">
            <w:pPr>
              <w:rPr>
                <w:rFonts w:ascii="Bookman Old Style" w:hAnsi="Bookman Old Style" w:cs="Tahoma"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3-cell, 41WHr, Li-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Ion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. Czas pracy na baterii wg dokumentacji producenta min 9 godzin 30 minut w teście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MobileMark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2018 z funkcją szybkiego ładowania baterii Zasilacz o mocy min. 45W</w:t>
            </w:r>
          </w:p>
        </w:tc>
      </w:tr>
      <w:tr w:rsidR="00642152" w:rsidRPr="008D155B" w14:paraId="4B98FDF1" w14:textId="77777777" w:rsidTr="00492D94">
        <w:tc>
          <w:tcPr>
            <w:tcW w:w="426" w:type="dxa"/>
          </w:tcPr>
          <w:p w14:paraId="0E295FD7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644E71F3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Zgodność z systemami operacyjnymi i standardami</w:t>
            </w:r>
          </w:p>
        </w:tc>
        <w:tc>
          <w:tcPr>
            <w:tcW w:w="8084" w:type="dxa"/>
          </w:tcPr>
          <w:p w14:paraId="307675FB" w14:textId="77777777" w:rsidR="00642152" w:rsidRPr="00F048FB" w:rsidRDefault="00642152" w:rsidP="00492D94">
            <w:pPr>
              <w:rPr>
                <w:rFonts w:ascii="Bookman Old Style" w:hAnsi="Bookman Old Style" w:cs="Tahoma"/>
                <w:b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Zgodność z 64-bitową wersją systemu operacyjnego Microsoft Windows 10</w:t>
            </w:r>
            <w:r>
              <w:rPr>
                <w:rFonts w:ascii="Bookman Old Style" w:hAnsi="Bookman Old Style" w:cs="Tahoma"/>
                <w:bCs/>
                <w:sz w:val="20"/>
              </w:rPr>
              <w:t xml:space="preserve"> HOME lub PRO </w:t>
            </w:r>
            <w:r w:rsidRPr="00F048FB">
              <w:rPr>
                <w:rFonts w:ascii="Bookman Old Style" w:hAnsi="Bookman Old Style" w:cs="Tahoma"/>
                <w:bCs/>
                <w:sz w:val="20"/>
              </w:rPr>
              <w:t>PL</w:t>
            </w:r>
            <w:r>
              <w:rPr>
                <w:rFonts w:ascii="Bookman Old Style" w:hAnsi="Bookman Old Style" w:cs="Tahoma"/>
                <w:bCs/>
                <w:sz w:val="20"/>
              </w:rPr>
              <w:t xml:space="preserve"> lub równoważny</w:t>
            </w:r>
            <w:r w:rsidRPr="00F048FB">
              <w:rPr>
                <w:rFonts w:ascii="Bookman Old Style" w:hAnsi="Bookman Old Style" w:cs="Tahoma"/>
                <w:bCs/>
                <w:sz w:val="20"/>
              </w:rPr>
              <w:t>, zainstalowany system operacyjny niewymagający aktywacji za pomocą telefonu lub Internetu w firmie Microsoft</w:t>
            </w:r>
            <w:r w:rsidRPr="00F048FB">
              <w:rPr>
                <w:rFonts w:ascii="Bookman Old Style" w:hAnsi="Bookman Old Style" w:cs="Tahoma"/>
                <w:b/>
                <w:bCs/>
                <w:sz w:val="20"/>
              </w:rPr>
              <w:t xml:space="preserve"> </w:t>
            </w:r>
          </w:p>
        </w:tc>
      </w:tr>
      <w:tr w:rsidR="00642152" w:rsidRPr="003C2AF5" w14:paraId="267D98AD" w14:textId="77777777" w:rsidTr="00492D94">
        <w:tc>
          <w:tcPr>
            <w:tcW w:w="426" w:type="dxa"/>
          </w:tcPr>
          <w:p w14:paraId="4752E5A2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524064F2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Certyfikaty i standardy</w:t>
            </w:r>
          </w:p>
        </w:tc>
        <w:tc>
          <w:tcPr>
            <w:tcW w:w="8084" w:type="dxa"/>
          </w:tcPr>
          <w:p w14:paraId="0B6D83BD" w14:textId="77777777" w:rsidR="00642152" w:rsidRPr="00F048FB" w:rsidRDefault="00642152" w:rsidP="00642152">
            <w:pPr>
              <w:numPr>
                <w:ilvl w:val="0"/>
                <w:numId w:val="26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Certyfikat ISO</w:t>
            </w:r>
            <w:r>
              <w:rPr>
                <w:rFonts w:ascii="Bookman Old Style" w:hAnsi="Bookman Old Style" w:cs="Tahoma"/>
                <w:bCs/>
                <w:sz w:val="20"/>
              </w:rPr>
              <w:t xml:space="preserve"> </w:t>
            </w:r>
            <w:r w:rsidRPr="00F048FB">
              <w:rPr>
                <w:rFonts w:ascii="Bookman Old Style" w:hAnsi="Bookman Old Style" w:cs="Tahoma"/>
                <w:bCs/>
                <w:sz w:val="20"/>
              </w:rPr>
              <w:t>9001:2000 dla producenta sprzętu (należy załączyć do oferty)</w:t>
            </w:r>
          </w:p>
          <w:p w14:paraId="0363ABC0" w14:textId="77777777" w:rsidR="00642152" w:rsidRPr="00F048FB" w:rsidRDefault="00642152" w:rsidP="00642152">
            <w:pPr>
              <w:numPr>
                <w:ilvl w:val="0"/>
                <w:numId w:val="26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Certyfikat ISO 14001 dla producenta sprzętu (należy załączyć do oferty)</w:t>
            </w:r>
          </w:p>
          <w:p w14:paraId="21C0A02C" w14:textId="77777777" w:rsidR="00642152" w:rsidRPr="00F048FB" w:rsidRDefault="00642152" w:rsidP="00642152">
            <w:pPr>
              <w:numPr>
                <w:ilvl w:val="0"/>
                <w:numId w:val="26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RoHS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Unii Europejskiej o eliminacji substancji niebezpiecznych w postaci oświadczenia producenta jednostki</w:t>
            </w:r>
          </w:p>
          <w:p w14:paraId="75CD6D08" w14:textId="77777777" w:rsidR="00642152" w:rsidRPr="00F048FB" w:rsidRDefault="00642152" w:rsidP="00642152">
            <w:pPr>
              <w:numPr>
                <w:ilvl w:val="0"/>
                <w:numId w:val="26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Potwierdzenie kompatybilności komputera na stronie Microsoft Windows Hardware Compatibility List na daną platformę systemową (wydruk ze strony)</w:t>
            </w:r>
          </w:p>
          <w:p w14:paraId="64DCBCD2" w14:textId="77777777" w:rsidR="00642152" w:rsidRPr="00F048FB" w:rsidRDefault="00642152" w:rsidP="00642152">
            <w:pPr>
              <w:numPr>
                <w:ilvl w:val="0"/>
                <w:numId w:val="26"/>
              </w:numPr>
              <w:rPr>
                <w:rFonts w:ascii="Bookman Old Style" w:hAnsi="Bookman Old Style" w:cs="Bookman Old Style"/>
                <w:bCs/>
                <w:sz w:val="20"/>
              </w:rPr>
            </w:pPr>
            <w:r w:rsidRPr="00F048FB">
              <w:rPr>
                <w:rFonts w:ascii="Bookman Old Style" w:hAnsi="Bookman Old Style" w:cs="Bookman Old Style"/>
                <w:bCs/>
                <w:sz w:val="20"/>
              </w:rPr>
              <w:t xml:space="preserve">Certyfikat EPEAT 2019 na poziomie SILVER dla Polski </w:t>
            </w:r>
          </w:p>
          <w:p w14:paraId="0344BA4E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Wymagany wpis dotyczący oferowanej stacji dostępowej w internetowym katalogu </w:t>
            </w:r>
            <w:hyperlink r:id="rId11" w:history="1">
              <w:r w:rsidRPr="00F048FB">
                <w:rPr>
                  <w:rStyle w:val="Hipercze"/>
                  <w:rFonts w:ascii="Bookman Old Style" w:hAnsi="Bookman Old Style" w:cs="Tahoma"/>
                  <w:bCs/>
                  <w:sz w:val="20"/>
                </w:rPr>
                <w:t>http://www.epeat.net</w:t>
              </w:r>
            </w:hyperlink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- dopuszcza się wydruk ze strony internetowej</w:t>
            </w:r>
          </w:p>
          <w:p w14:paraId="7EABF908" w14:textId="77777777" w:rsidR="00642152" w:rsidRPr="00F048FB" w:rsidRDefault="00642152" w:rsidP="00642152">
            <w:pPr>
              <w:numPr>
                <w:ilvl w:val="0"/>
                <w:numId w:val="26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Certyfikat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EnergyStar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8.0 – komputer musi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znajdowac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się na liście zgodności dostępnej na stronie </w:t>
            </w:r>
            <w:hyperlink r:id="rId12" w:history="1">
              <w:r w:rsidRPr="00F048FB">
                <w:rPr>
                  <w:rStyle w:val="Hipercze"/>
                  <w:rFonts w:ascii="Bookman Old Style" w:hAnsi="Bookman Old Style" w:cs="Tahoma"/>
                  <w:bCs/>
                  <w:sz w:val="20"/>
                </w:rPr>
                <w:t>www.energystar.gov</w:t>
              </w:r>
            </w:hyperlink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</w:t>
            </w:r>
          </w:p>
        </w:tc>
      </w:tr>
      <w:tr w:rsidR="00642152" w:rsidRPr="00772588" w14:paraId="6C24B1CA" w14:textId="77777777" w:rsidTr="00492D94">
        <w:tc>
          <w:tcPr>
            <w:tcW w:w="426" w:type="dxa"/>
          </w:tcPr>
          <w:p w14:paraId="3B56FD7D" w14:textId="77777777" w:rsidR="00642152" w:rsidRPr="00772588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i/>
                <w:sz w:val="20"/>
              </w:rPr>
            </w:pPr>
          </w:p>
        </w:tc>
        <w:tc>
          <w:tcPr>
            <w:tcW w:w="1843" w:type="dxa"/>
          </w:tcPr>
          <w:p w14:paraId="134779AE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Ergonomia</w:t>
            </w:r>
          </w:p>
        </w:tc>
        <w:tc>
          <w:tcPr>
            <w:tcW w:w="8084" w:type="dxa"/>
          </w:tcPr>
          <w:p w14:paraId="3813D6D0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i/>
                <w:strike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Głośność jednostki centralnej mierzona zgodnie z normą ISO 7779 oraz wykazana zgodnie z normą ISO 9296 w pozycji operatora w trybie (IDLE) wynosząca maksymalnie 16dB (wartość do zweryfikowania w dokumentacji technicznej komputera oraz oświadczenia producenta).</w:t>
            </w:r>
          </w:p>
        </w:tc>
      </w:tr>
      <w:tr w:rsidR="00642152" w:rsidRPr="003C2AF5" w14:paraId="2B5C2450" w14:textId="77777777" w:rsidTr="00492D94">
        <w:tc>
          <w:tcPr>
            <w:tcW w:w="426" w:type="dxa"/>
          </w:tcPr>
          <w:p w14:paraId="56C5967B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752ACF83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Waga i wymiary</w:t>
            </w:r>
          </w:p>
        </w:tc>
        <w:tc>
          <w:tcPr>
            <w:tcW w:w="8084" w:type="dxa"/>
          </w:tcPr>
          <w:p w14:paraId="0667C4D6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Waga max </w:t>
            </w:r>
            <w:r w:rsidRPr="00F048FB">
              <w:rPr>
                <w:rFonts w:ascii="Bookman Old Style" w:hAnsi="Bookman Old Style" w:cs="Tahoma"/>
                <w:sz w:val="20"/>
              </w:rPr>
              <w:t>1.75 kg z baterią 3-cell</w:t>
            </w:r>
          </w:p>
          <w:p w14:paraId="55F6FD1D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Szerokość: max 358 mm</w:t>
            </w:r>
          </w:p>
          <w:p w14:paraId="7F592449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Wysokość z przodu: max 20 mm </w:t>
            </w:r>
          </w:p>
          <w:p w14:paraId="19D21429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Głębokość: max 242 mm</w:t>
            </w:r>
          </w:p>
        </w:tc>
      </w:tr>
      <w:tr w:rsidR="00642152" w:rsidRPr="003C2AF5" w14:paraId="1EA979D3" w14:textId="77777777" w:rsidTr="00492D94">
        <w:tc>
          <w:tcPr>
            <w:tcW w:w="426" w:type="dxa"/>
          </w:tcPr>
          <w:p w14:paraId="08E9EC7B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1121CEE1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BIOS</w:t>
            </w:r>
          </w:p>
        </w:tc>
        <w:tc>
          <w:tcPr>
            <w:tcW w:w="8084" w:type="dxa"/>
          </w:tcPr>
          <w:p w14:paraId="590A36F3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BIOS zgodny z UEFI.</w:t>
            </w:r>
          </w:p>
          <w:p w14:paraId="77EADE5E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Możliwość odczytania z BIOS: </w:t>
            </w:r>
          </w:p>
          <w:p w14:paraId="0861B10A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1. Wersji BIOS</w:t>
            </w:r>
          </w:p>
          <w:p w14:paraId="26D18DE6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2. Modelu procesora, prędkości procesora, </w:t>
            </w:r>
          </w:p>
          <w:p w14:paraId="503D6C0C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3. Informacji o ilości pamięci RAM </w:t>
            </w:r>
          </w:p>
          <w:p w14:paraId="5F66EABD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lastRenderedPageBreak/>
              <w:t>4. Informacji o dacie produkcji komputera.</w:t>
            </w:r>
          </w:p>
          <w:p w14:paraId="0A484176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5. Informacji o: numerze seryjnym, ID płyty głównej.</w:t>
            </w:r>
          </w:p>
          <w:p w14:paraId="1103F575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6. Informacji o preinstalowanym systemie operacyjnym.</w:t>
            </w:r>
          </w:p>
          <w:p w14:paraId="5FEC35B6" w14:textId="77777777" w:rsidR="00642152" w:rsidRPr="00F048FB" w:rsidRDefault="00642152" w:rsidP="00492D94">
            <w:pPr>
              <w:ind w:left="360"/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7. Informacji o baterii: numer seryjny oraz data produkcji.</w:t>
            </w:r>
          </w:p>
          <w:p w14:paraId="03D56767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14:paraId="2CEC9D8E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Funkcja blokowania/odblokowania BOOT-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owania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0C6520D6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</w:tc>
      </w:tr>
      <w:tr w:rsidR="00642152" w:rsidRPr="00C56968" w14:paraId="706DA91E" w14:textId="77777777" w:rsidTr="00492D94">
        <w:tc>
          <w:tcPr>
            <w:tcW w:w="426" w:type="dxa"/>
          </w:tcPr>
          <w:p w14:paraId="66B36373" w14:textId="77777777" w:rsidR="00642152" w:rsidRPr="003C2AF5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0AFB1DC7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Bezpieczeństwo</w:t>
            </w:r>
          </w:p>
        </w:tc>
        <w:tc>
          <w:tcPr>
            <w:tcW w:w="8084" w:type="dxa"/>
          </w:tcPr>
          <w:p w14:paraId="5EB21D74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val="en-US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  <w:lang w:val="en-US"/>
              </w:rPr>
              <w:t>TPM 2.0</w:t>
            </w:r>
          </w:p>
          <w:p w14:paraId="7220D3E3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  <w:lang w:val="en-US"/>
              </w:rPr>
            </w:pPr>
          </w:p>
        </w:tc>
      </w:tr>
      <w:tr w:rsidR="00642152" w:rsidRPr="003C2AF5" w14:paraId="2C20511F" w14:textId="77777777" w:rsidTr="00492D94">
        <w:tc>
          <w:tcPr>
            <w:tcW w:w="426" w:type="dxa"/>
          </w:tcPr>
          <w:p w14:paraId="39FDD544" w14:textId="77777777" w:rsidR="00642152" w:rsidRPr="00770DF6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  <w:lang w:val="en-US"/>
              </w:rPr>
            </w:pPr>
          </w:p>
        </w:tc>
        <w:tc>
          <w:tcPr>
            <w:tcW w:w="1843" w:type="dxa"/>
          </w:tcPr>
          <w:p w14:paraId="59EB64CC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Warunki gwarancji</w:t>
            </w:r>
          </w:p>
        </w:tc>
        <w:tc>
          <w:tcPr>
            <w:tcW w:w="8084" w:type="dxa"/>
          </w:tcPr>
          <w:p w14:paraId="3686D0CF" w14:textId="77777777" w:rsidR="00642152" w:rsidRPr="00F048FB" w:rsidRDefault="00642152" w:rsidP="00492D94">
            <w:pPr>
              <w:rPr>
                <w:rFonts w:ascii="Bookman Old Style" w:hAnsi="Bookman Old Style" w:cs="Tahoma"/>
                <w:sz w:val="20"/>
              </w:rPr>
            </w:pPr>
            <w:r w:rsidRPr="00F048FB">
              <w:rPr>
                <w:rFonts w:ascii="Bookman Old Style" w:hAnsi="Bookman Old Style" w:cs="Tahoma"/>
                <w:sz w:val="20"/>
              </w:rPr>
              <w:t xml:space="preserve">3-letnia gwarancja producenta </w:t>
            </w:r>
            <w:r>
              <w:rPr>
                <w:rFonts w:ascii="Bookman Old Style" w:hAnsi="Bookman Old Style" w:cs="Tahoma"/>
                <w:sz w:val="20"/>
              </w:rPr>
              <w:t xml:space="preserve">w formie realizacji </w:t>
            </w:r>
            <w:proofErr w:type="spellStart"/>
            <w:r>
              <w:rPr>
                <w:rFonts w:ascii="Bookman Old Style" w:hAnsi="Bookman Old Style" w:cs="Tahoma"/>
                <w:sz w:val="20"/>
              </w:rPr>
              <w:t>Next</w:t>
            </w:r>
            <w:proofErr w:type="spellEnd"/>
            <w:r>
              <w:rPr>
                <w:rFonts w:ascii="Bookman Old Style" w:hAnsi="Bookman Old Style" w:cs="Tahoma"/>
                <w:sz w:val="20"/>
              </w:rPr>
              <w:t xml:space="preserve"> Business Day</w:t>
            </w:r>
          </w:p>
          <w:p w14:paraId="6D0561D9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0287BB12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</w:t>
            </w:r>
          </w:p>
        </w:tc>
      </w:tr>
      <w:tr w:rsidR="00642152" w:rsidRPr="001B744A" w14:paraId="2F92CF37" w14:textId="77777777" w:rsidTr="00492D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2DA" w14:textId="77777777" w:rsidR="00642152" w:rsidRPr="00A05E81" w:rsidRDefault="00642152" w:rsidP="00642152">
            <w:pPr>
              <w:numPr>
                <w:ilvl w:val="0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5B3" w14:textId="77777777" w:rsidR="00642152" w:rsidRPr="00F048FB" w:rsidRDefault="00642152" w:rsidP="00492D94">
            <w:p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Wymagania dodatkowe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26F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  <w:lang w:eastAsia="en-US"/>
              </w:rPr>
            </w:pPr>
            <w:r w:rsidRPr="00F048FB">
              <w:rPr>
                <w:rFonts w:ascii="Bookman Old Style" w:hAnsi="Bookman Old Style" w:cs="Arial"/>
                <w:sz w:val="20"/>
              </w:rPr>
              <w:t xml:space="preserve">Wbudowane porty i złącza: 1 x HDMI 1.4 z lewej strony obudowy, </w:t>
            </w:r>
            <w:r>
              <w:rPr>
                <w:rFonts w:ascii="Bookman Old Style" w:hAnsi="Bookman Old Style" w:cs="Arial"/>
                <w:sz w:val="20"/>
              </w:rPr>
              <w:t>1</w:t>
            </w:r>
            <w:r w:rsidRPr="00F048FB">
              <w:rPr>
                <w:rFonts w:ascii="Bookman Old Style" w:hAnsi="Bookman Old Style" w:cs="Arial"/>
                <w:sz w:val="20"/>
              </w:rPr>
              <w:t xml:space="preserve"> </w:t>
            </w:r>
            <w:proofErr w:type="spellStart"/>
            <w:r w:rsidRPr="00F048FB"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  <w:r w:rsidRPr="00F048FB">
              <w:rPr>
                <w:rFonts w:ascii="Bookman Old Style" w:hAnsi="Bookman Old Style" w:cs="Arial"/>
                <w:sz w:val="20"/>
              </w:rPr>
              <w:t xml:space="preserve"> USB 3.2 Gen.1, </w:t>
            </w:r>
            <w:r>
              <w:rPr>
                <w:rFonts w:ascii="Bookman Old Style" w:hAnsi="Bookman Old Style" w:cs="Arial"/>
                <w:sz w:val="20"/>
              </w:rPr>
              <w:t>2</w:t>
            </w:r>
            <w:r w:rsidRPr="00F048FB">
              <w:rPr>
                <w:rFonts w:ascii="Bookman Old Style" w:hAnsi="Bookman Old Style" w:cs="Arial"/>
                <w:sz w:val="20"/>
              </w:rPr>
              <w:t xml:space="preserve"> </w:t>
            </w:r>
            <w:proofErr w:type="spellStart"/>
            <w:r w:rsidRPr="00F048FB">
              <w:rPr>
                <w:rFonts w:ascii="Bookman Old Style" w:hAnsi="Bookman Old Style" w:cs="Arial"/>
                <w:sz w:val="20"/>
              </w:rPr>
              <w:t>szt</w:t>
            </w:r>
            <w:proofErr w:type="spellEnd"/>
            <w:r w:rsidRPr="00F048FB">
              <w:rPr>
                <w:rFonts w:ascii="Bookman Old Style" w:hAnsi="Bookman Old Style" w:cs="Arial"/>
                <w:sz w:val="20"/>
              </w:rPr>
              <w:t xml:space="preserve"> USB Typ-C 3.2 Gen 1, RJ-45 z lewej strony obudowy, 1 x złącze słuchawkowo/mikrofonowe (COMBO),</w:t>
            </w:r>
            <w:r w:rsidRPr="00F048FB">
              <w:rPr>
                <w:rFonts w:ascii="Bookman Old Style" w:hAnsi="Bookman Old Style" w:cs="Tahoma"/>
                <w:sz w:val="20"/>
              </w:rPr>
              <w:t xml:space="preserve"> czytnik kart multimedialnych SD/SDHC/SDXC,</w:t>
            </w:r>
            <w:r w:rsidRPr="00F048FB">
              <w:rPr>
                <w:rFonts w:ascii="Bookman Old Style" w:hAnsi="Bookman Old Style" w:cs="Tahoma"/>
                <w:b/>
                <w:sz w:val="20"/>
              </w:rPr>
              <w:t xml:space="preserve"> </w:t>
            </w:r>
          </w:p>
          <w:p w14:paraId="1133904A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  <w:lang w:eastAsia="en-US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>Karta sieciowa LAN 10/100/1000 Ethernet RJ 45 zintegrowana z płytą główną oraz WLAN 802.11b/g/n/</w:t>
            </w:r>
            <w:r w:rsidRPr="00F048FB">
              <w:rPr>
                <w:rFonts w:ascii="Bookman Old Style" w:hAnsi="Bookman Old Style" w:cs="Tahoma"/>
                <w:sz w:val="20"/>
                <w:lang w:eastAsia="en-US"/>
              </w:rPr>
              <w:t xml:space="preserve">AC </w:t>
            </w:r>
            <w:r w:rsidRPr="00F048FB">
              <w:rPr>
                <w:rFonts w:ascii="Bookman Old Style" w:hAnsi="Bookman Old Style" w:cs="Tahoma"/>
                <w:bCs/>
                <w:sz w:val="20"/>
                <w:lang w:eastAsia="en-US"/>
              </w:rPr>
              <w:t xml:space="preserve">+ Bluetooth 5 (COMBO), zintegrowany z płytą główną lub w postaci wewnętrznego modułu mini-PCI Express. </w:t>
            </w:r>
          </w:p>
          <w:p w14:paraId="023310B2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Klawiatura (układ US -QWERTY), min 102 klawisze z wydzieloną strefą klawiszy numerycznych. </w:t>
            </w:r>
            <w:proofErr w:type="spellStart"/>
            <w:r w:rsidRPr="00F048FB">
              <w:rPr>
                <w:rFonts w:ascii="Bookman Old Style" w:hAnsi="Bookman Old Style" w:cs="Tahoma"/>
                <w:bCs/>
                <w:sz w:val="20"/>
              </w:rPr>
              <w:t>Touchpad</w:t>
            </w:r>
            <w:proofErr w:type="spellEnd"/>
            <w:r w:rsidRPr="00F048FB">
              <w:rPr>
                <w:rFonts w:ascii="Bookman Old Style" w:hAnsi="Bookman Old Style" w:cs="Tahoma"/>
                <w:bCs/>
                <w:sz w:val="20"/>
              </w:rPr>
              <w:t xml:space="preserve"> </w:t>
            </w:r>
          </w:p>
          <w:p w14:paraId="7C143DC6" w14:textId="77777777" w:rsidR="00642152" w:rsidRPr="00F048FB" w:rsidRDefault="00642152" w:rsidP="00642152">
            <w:pPr>
              <w:numPr>
                <w:ilvl w:val="1"/>
                <w:numId w:val="25"/>
              </w:numPr>
              <w:rPr>
                <w:rFonts w:ascii="Bookman Old Style" w:hAnsi="Bookman Old Style" w:cs="Tahoma"/>
                <w:bCs/>
                <w:sz w:val="20"/>
              </w:rPr>
            </w:pPr>
            <w:r w:rsidRPr="00F048FB">
              <w:rPr>
                <w:rFonts w:ascii="Bookman Old Style" w:hAnsi="Bookman Old Style" w:cs="Tahoma"/>
                <w:bCs/>
                <w:sz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</w:tr>
    </w:tbl>
    <w:p w14:paraId="7DB339D7" w14:textId="375947E6" w:rsidR="00646E38" w:rsidRDefault="00646E38" w:rsidP="00646E38">
      <w:pPr>
        <w:widowControl w:val="0"/>
        <w:tabs>
          <w:tab w:val="left" w:pos="549"/>
        </w:tabs>
        <w:autoSpaceDE w:val="0"/>
        <w:autoSpaceDN w:val="0"/>
        <w:rPr>
          <w:color w:val="000000" w:themeColor="text1"/>
        </w:rPr>
      </w:pPr>
    </w:p>
    <w:p w14:paraId="772807A3" w14:textId="4EF929DB" w:rsidR="00F606B3" w:rsidRDefault="00F606B3" w:rsidP="00646E38">
      <w:pPr>
        <w:widowControl w:val="0"/>
        <w:tabs>
          <w:tab w:val="left" w:pos="549"/>
        </w:tabs>
        <w:autoSpaceDE w:val="0"/>
        <w:autoSpaceDN w:val="0"/>
        <w:rPr>
          <w:color w:val="000000" w:themeColor="text1"/>
        </w:rPr>
      </w:pPr>
    </w:p>
    <w:p w14:paraId="47C79891" w14:textId="7E7800E1" w:rsidR="00F606B3" w:rsidRPr="00F606B3" w:rsidRDefault="00F606B3" w:rsidP="00646E38">
      <w:pPr>
        <w:widowControl w:val="0"/>
        <w:tabs>
          <w:tab w:val="left" w:pos="549"/>
        </w:tabs>
        <w:autoSpaceDE w:val="0"/>
        <w:autoSpaceDN w:val="0"/>
        <w:rPr>
          <w:b/>
          <w:bCs/>
          <w:color w:val="000000" w:themeColor="text1"/>
        </w:rPr>
      </w:pPr>
      <w:r w:rsidRPr="00F606B3">
        <w:rPr>
          <w:b/>
          <w:bCs/>
          <w:color w:val="000000" w:themeColor="text1"/>
        </w:rPr>
        <w:t>Minimalne wymagania dla przedmiotu zamówienia licencjonowane oprogramowanie biurowe dla sektora EDUKACYJNEGO</w:t>
      </w:r>
    </w:p>
    <w:p w14:paraId="7E9C0321" w14:textId="77777777" w:rsidR="00F606B3" w:rsidRPr="0072682B" w:rsidRDefault="000C74DE" w:rsidP="00653B5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571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2"/>
        <w:gridCol w:w="767"/>
      </w:tblGrid>
      <w:tr w:rsidR="00F606B3" w:rsidRPr="00653B5F" w14:paraId="70521401" w14:textId="77777777" w:rsidTr="00FA71C5">
        <w:trPr>
          <w:trHeight w:val="561"/>
        </w:trPr>
        <w:tc>
          <w:tcPr>
            <w:tcW w:w="4726" w:type="pct"/>
            <w:shd w:val="clear" w:color="auto" w:fill="auto"/>
          </w:tcPr>
          <w:p w14:paraId="423105D2" w14:textId="77777777" w:rsidR="00F606B3" w:rsidRPr="00653B5F" w:rsidRDefault="00F606B3" w:rsidP="00653B5F">
            <w:pPr>
              <w:rPr>
                <w:color w:val="000000" w:themeColor="text1"/>
              </w:rPr>
            </w:pPr>
            <w:r w:rsidRPr="00653B5F">
              <w:rPr>
                <w:color w:val="000000" w:themeColor="text1"/>
              </w:rPr>
              <w:t xml:space="preserve">Licencjonowane oprogramowanie biurowe dedykowane dla sektora EDUKACYJNEGO - powinno zawierać: edytor tekstu, arkusz kalkulacyjny, program do prezentacji, program do obsługi baz danych, program do obsługi poczty elektronicznej, programy do scalania i organizowania w pakiety plików pochodzących z różnych programów, kalendarze elektroniczne i </w:t>
            </w:r>
            <w:proofErr w:type="spellStart"/>
            <w:r w:rsidRPr="00653B5F">
              <w:rPr>
                <w:color w:val="000000" w:themeColor="text1"/>
              </w:rPr>
              <w:t>organizery</w:t>
            </w:r>
            <w:proofErr w:type="spellEnd"/>
            <w:r w:rsidRPr="00653B5F">
              <w:rPr>
                <w:color w:val="000000" w:themeColor="text1"/>
              </w:rPr>
              <w:t xml:space="preserve">. Oprogramowanie musi zawierać program do obsługi plików </w:t>
            </w:r>
            <w:proofErr w:type="spellStart"/>
            <w:r w:rsidRPr="00653B5F">
              <w:rPr>
                <w:color w:val="000000" w:themeColor="text1"/>
              </w:rPr>
              <w:t>docx</w:t>
            </w:r>
            <w:proofErr w:type="spellEnd"/>
            <w:r w:rsidRPr="00653B5F">
              <w:rPr>
                <w:color w:val="000000" w:themeColor="text1"/>
              </w:rPr>
              <w:t xml:space="preserve">, </w:t>
            </w:r>
            <w:proofErr w:type="spellStart"/>
            <w:r w:rsidRPr="00653B5F">
              <w:rPr>
                <w:color w:val="000000" w:themeColor="text1"/>
              </w:rPr>
              <w:t>pptx</w:t>
            </w:r>
            <w:proofErr w:type="spellEnd"/>
            <w:r w:rsidRPr="00653B5F">
              <w:rPr>
                <w:color w:val="000000" w:themeColor="text1"/>
              </w:rPr>
              <w:t xml:space="preserve">, </w:t>
            </w:r>
            <w:proofErr w:type="spellStart"/>
            <w:r w:rsidRPr="00653B5F">
              <w:rPr>
                <w:color w:val="000000" w:themeColor="text1"/>
              </w:rPr>
              <w:t>xlsx</w:t>
            </w:r>
            <w:proofErr w:type="spellEnd"/>
            <w:r w:rsidRPr="00653B5F">
              <w:rPr>
                <w:color w:val="000000" w:themeColor="text1"/>
              </w:rPr>
              <w:t xml:space="preserve">. Obsługa plików PDF z możliwością konwersji do wersji edytowalnej. System i oprogramowanie powinny być ze sobą kompatybilne. Licencja bezterminowa. </w:t>
            </w:r>
          </w:p>
        </w:tc>
        <w:tc>
          <w:tcPr>
            <w:tcW w:w="274" w:type="pct"/>
            <w:shd w:val="clear" w:color="auto" w:fill="auto"/>
            <w:noWrap/>
          </w:tcPr>
          <w:p w14:paraId="6DB91471" w14:textId="77777777" w:rsidR="00F606B3" w:rsidRPr="00653B5F" w:rsidRDefault="00F606B3" w:rsidP="00653B5F">
            <w:pPr>
              <w:rPr>
                <w:color w:val="000000" w:themeColor="text1"/>
              </w:rPr>
            </w:pPr>
            <w:r w:rsidRPr="00653B5F">
              <w:rPr>
                <w:color w:val="000000" w:themeColor="text1"/>
              </w:rPr>
              <w:t>32 szt.</w:t>
            </w:r>
          </w:p>
        </w:tc>
      </w:tr>
    </w:tbl>
    <w:p w14:paraId="1C3AF667" w14:textId="450F7F86" w:rsidR="00646E38" w:rsidRPr="0072682B" w:rsidRDefault="00646E38" w:rsidP="0072682B">
      <w:pPr>
        <w:pStyle w:val="Bezodstpw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4F25AB2" w14:textId="77777777" w:rsidR="00BB5CC7" w:rsidRPr="00243B43" w:rsidRDefault="00BB5CC7" w:rsidP="00A41C29">
      <w:pPr>
        <w:shd w:val="clear" w:color="auto" w:fill="FFFFFF"/>
        <w:tabs>
          <w:tab w:val="left" w:pos="245"/>
        </w:tabs>
        <w:jc w:val="both"/>
      </w:pPr>
    </w:p>
    <w:p w14:paraId="0698C822" w14:textId="77777777" w:rsidR="00081AA5" w:rsidRPr="00081AA5" w:rsidRDefault="009663B9" w:rsidP="00A41C29">
      <w:pPr>
        <w:shd w:val="clear" w:color="auto" w:fill="FFFFFF"/>
        <w:tabs>
          <w:tab w:val="left" w:pos="223"/>
        </w:tabs>
        <w:jc w:val="both"/>
        <w:rPr>
          <w:b/>
          <w:snapToGrid w:val="0"/>
          <w:color w:val="000000"/>
        </w:rPr>
      </w:pPr>
      <w:r w:rsidRPr="00081AA5">
        <w:rPr>
          <w:b/>
          <w:snapToGrid w:val="0"/>
          <w:color w:val="000000"/>
        </w:rPr>
        <w:t>3</w:t>
      </w:r>
      <w:r w:rsidR="00841442" w:rsidRPr="00081AA5">
        <w:rPr>
          <w:b/>
          <w:snapToGrid w:val="0"/>
          <w:color w:val="000000"/>
        </w:rPr>
        <w:t xml:space="preserve">. </w:t>
      </w:r>
      <w:r w:rsidR="00081AA5" w:rsidRPr="00081AA5">
        <w:rPr>
          <w:b/>
          <w:snapToGrid w:val="0"/>
          <w:color w:val="000000"/>
        </w:rPr>
        <w:t xml:space="preserve">Oferty wariantowe: </w:t>
      </w:r>
    </w:p>
    <w:p w14:paraId="2E4286A3" w14:textId="1C270244" w:rsidR="00841442" w:rsidRPr="00243B43" w:rsidRDefault="00841442" w:rsidP="00A41C29">
      <w:pPr>
        <w:shd w:val="clear" w:color="auto" w:fill="FFFFFF"/>
        <w:tabs>
          <w:tab w:val="left" w:pos="223"/>
        </w:tabs>
        <w:jc w:val="both"/>
        <w:rPr>
          <w:color w:val="000000"/>
        </w:rPr>
      </w:pPr>
      <w:r w:rsidRPr="00243B43">
        <w:rPr>
          <w:color w:val="000000"/>
        </w:rPr>
        <w:t xml:space="preserve">Zamawiający </w:t>
      </w:r>
      <w:r w:rsidR="000D32E6" w:rsidRPr="00243B43">
        <w:rPr>
          <w:color w:val="000000"/>
        </w:rPr>
        <w:t xml:space="preserve">nie </w:t>
      </w:r>
      <w:r w:rsidRPr="00243B43">
        <w:rPr>
          <w:color w:val="000000"/>
        </w:rPr>
        <w:t xml:space="preserve">dopuszcza możliwości </w:t>
      </w:r>
      <w:r w:rsidR="009E08AE" w:rsidRPr="00243B43">
        <w:rPr>
          <w:color w:val="000000"/>
        </w:rPr>
        <w:t>złożenia</w:t>
      </w:r>
      <w:r w:rsidRPr="00243B43">
        <w:rPr>
          <w:color w:val="000000"/>
        </w:rPr>
        <w:t xml:space="preserve"> oferty </w:t>
      </w:r>
      <w:r w:rsidR="009E08AE" w:rsidRPr="00243B43">
        <w:rPr>
          <w:color w:val="000000"/>
        </w:rPr>
        <w:t xml:space="preserve">na część </w:t>
      </w:r>
      <w:r w:rsidR="000D32E6" w:rsidRPr="00243B43">
        <w:rPr>
          <w:color w:val="000000"/>
        </w:rPr>
        <w:t>za</w:t>
      </w:r>
      <w:r w:rsidR="00BB5CC7">
        <w:rPr>
          <w:color w:val="000000"/>
        </w:rPr>
        <w:t>mówienia</w:t>
      </w:r>
      <w:r w:rsidRPr="00243B43">
        <w:rPr>
          <w:color w:val="000000"/>
        </w:rPr>
        <w:t>.</w:t>
      </w:r>
    </w:p>
    <w:p w14:paraId="665F07F3" w14:textId="77777777" w:rsidR="006E7D6C" w:rsidRPr="00243B43" w:rsidRDefault="006E7D6C" w:rsidP="00A41C29">
      <w:pPr>
        <w:shd w:val="clear" w:color="auto" w:fill="FFFFFF"/>
        <w:tabs>
          <w:tab w:val="left" w:pos="223"/>
        </w:tabs>
        <w:jc w:val="both"/>
        <w:rPr>
          <w:b/>
          <w:color w:val="000000"/>
        </w:rPr>
      </w:pPr>
    </w:p>
    <w:p w14:paraId="65BAD4E2" w14:textId="77777777" w:rsidR="00081AA5" w:rsidRDefault="009663B9" w:rsidP="00A41C29">
      <w:pPr>
        <w:shd w:val="clear" w:color="auto" w:fill="FFFFFF"/>
        <w:tabs>
          <w:tab w:val="left" w:pos="223"/>
        </w:tabs>
        <w:jc w:val="both"/>
        <w:rPr>
          <w:b/>
          <w:color w:val="000000"/>
        </w:rPr>
      </w:pPr>
      <w:r w:rsidRPr="00243B43">
        <w:rPr>
          <w:b/>
          <w:color w:val="000000"/>
        </w:rPr>
        <w:t xml:space="preserve">4. </w:t>
      </w:r>
      <w:r w:rsidR="00081AA5">
        <w:rPr>
          <w:b/>
          <w:color w:val="000000"/>
        </w:rPr>
        <w:t>Wzór formularza ofertowego:</w:t>
      </w:r>
    </w:p>
    <w:p w14:paraId="4B85C1A2" w14:textId="58DAA76D" w:rsidR="009663B9" w:rsidRDefault="009663B9" w:rsidP="00A41C29">
      <w:pPr>
        <w:shd w:val="clear" w:color="auto" w:fill="FFFFFF"/>
        <w:tabs>
          <w:tab w:val="left" w:pos="223"/>
        </w:tabs>
        <w:jc w:val="both"/>
        <w:rPr>
          <w:color w:val="000000"/>
        </w:rPr>
      </w:pPr>
      <w:r w:rsidRPr="00243B43">
        <w:rPr>
          <w:color w:val="000000"/>
        </w:rPr>
        <w:t xml:space="preserve">Ofertę należy złożyć wg. wzoru określonego przez zamawiającego (załącznik nr </w:t>
      </w:r>
      <w:r w:rsidR="001E516E">
        <w:rPr>
          <w:color w:val="000000"/>
        </w:rPr>
        <w:t>1</w:t>
      </w:r>
      <w:r w:rsidRPr="00243B43">
        <w:rPr>
          <w:color w:val="000000"/>
        </w:rPr>
        <w:t>).</w:t>
      </w:r>
      <w:r w:rsidR="004128A1" w:rsidRPr="00243B43">
        <w:rPr>
          <w:color w:val="000000"/>
        </w:rPr>
        <w:t xml:space="preserve"> </w:t>
      </w:r>
    </w:p>
    <w:p w14:paraId="03D6EF60" w14:textId="67A9F5DD" w:rsidR="00A41C29" w:rsidRDefault="00A41C29" w:rsidP="00A41C29">
      <w:pPr>
        <w:shd w:val="clear" w:color="auto" w:fill="FFFFFF"/>
        <w:tabs>
          <w:tab w:val="left" w:pos="223"/>
        </w:tabs>
        <w:jc w:val="both"/>
        <w:rPr>
          <w:color w:val="000000"/>
        </w:rPr>
      </w:pPr>
    </w:p>
    <w:p w14:paraId="084C79CA" w14:textId="464E8E6B" w:rsidR="00841442" w:rsidRPr="00243B43" w:rsidRDefault="009663B9" w:rsidP="00A41C29">
      <w:pPr>
        <w:shd w:val="clear" w:color="auto" w:fill="FFFFFF"/>
        <w:tabs>
          <w:tab w:val="left" w:pos="223"/>
        </w:tabs>
        <w:jc w:val="both"/>
        <w:rPr>
          <w:color w:val="000000"/>
        </w:rPr>
      </w:pPr>
      <w:r w:rsidRPr="00243B43">
        <w:rPr>
          <w:b/>
          <w:snapToGrid w:val="0"/>
          <w:color w:val="000000"/>
        </w:rPr>
        <w:t>5.</w:t>
      </w:r>
      <w:r w:rsidR="00841442" w:rsidRPr="00243B43">
        <w:rPr>
          <w:b/>
          <w:snapToGrid w:val="0"/>
          <w:color w:val="000000"/>
        </w:rPr>
        <w:t xml:space="preserve"> </w:t>
      </w:r>
      <w:r w:rsidR="00841442" w:rsidRPr="00243B43">
        <w:rPr>
          <w:b/>
          <w:color w:val="000000"/>
        </w:rPr>
        <w:t xml:space="preserve">Termin wykonania zamówienia: </w:t>
      </w:r>
      <w:r w:rsidR="00081AA5" w:rsidRPr="00642152">
        <w:rPr>
          <w:color w:val="000000"/>
        </w:rPr>
        <w:t xml:space="preserve">do </w:t>
      </w:r>
      <w:r w:rsidR="00642152">
        <w:rPr>
          <w:color w:val="000000"/>
        </w:rPr>
        <w:t xml:space="preserve">30 dni od podpisania umowy </w:t>
      </w:r>
    </w:p>
    <w:p w14:paraId="78E8FEB7" w14:textId="66C0EA2A" w:rsidR="009663B9" w:rsidRDefault="009663B9" w:rsidP="00A41C29">
      <w:pPr>
        <w:shd w:val="clear" w:color="auto" w:fill="FFFFFF"/>
        <w:tabs>
          <w:tab w:val="left" w:pos="223"/>
        </w:tabs>
        <w:jc w:val="both"/>
      </w:pPr>
    </w:p>
    <w:p w14:paraId="1D80A57F" w14:textId="77777777" w:rsidR="00841442" w:rsidRPr="002D6A76" w:rsidRDefault="009663B9" w:rsidP="00A41C29">
      <w:pPr>
        <w:rPr>
          <w:b/>
          <w:color w:val="000000" w:themeColor="text1"/>
        </w:rPr>
      </w:pPr>
      <w:r w:rsidRPr="00243B43">
        <w:rPr>
          <w:b/>
          <w:color w:val="000000"/>
        </w:rPr>
        <w:t>6.</w:t>
      </w:r>
      <w:r w:rsidR="007C7EC6" w:rsidRPr="00243B43">
        <w:rPr>
          <w:b/>
          <w:color w:val="000000"/>
        </w:rPr>
        <w:t xml:space="preserve"> </w:t>
      </w:r>
      <w:r w:rsidR="00841442" w:rsidRPr="002D6A76">
        <w:rPr>
          <w:b/>
          <w:color w:val="000000" w:themeColor="text1"/>
        </w:rPr>
        <w:t>Warunki udziału w postępowaniu</w:t>
      </w:r>
    </w:p>
    <w:p w14:paraId="6B59CC14" w14:textId="77777777" w:rsidR="00841442" w:rsidRPr="002D6A76" w:rsidRDefault="00841442" w:rsidP="00686E4E">
      <w:pPr>
        <w:jc w:val="both"/>
        <w:rPr>
          <w:color w:val="000000" w:themeColor="text1"/>
        </w:rPr>
      </w:pPr>
      <w:r w:rsidRPr="002D6A76">
        <w:rPr>
          <w:color w:val="000000" w:themeColor="text1"/>
        </w:rPr>
        <w:t>O udzielenie zamówienia mogą ubiegać się wykonawcy, którzy:</w:t>
      </w:r>
    </w:p>
    <w:p w14:paraId="75B1DF60" w14:textId="63A2AD13" w:rsidR="00893359" w:rsidRPr="00642152" w:rsidRDefault="00B41A33" w:rsidP="00893359">
      <w:pPr>
        <w:numPr>
          <w:ilvl w:val="0"/>
          <w:numId w:val="23"/>
        </w:numPr>
        <w:jc w:val="both"/>
        <w:rPr>
          <w:color w:val="000000" w:themeColor="text1"/>
        </w:rPr>
      </w:pPr>
      <w:bookmarkStart w:id="2" w:name="_Hlk93135701"/>
      <w:r w:rsidRPr="005B04A9">
        <w:rPr>
          <w:color w:val="000000" w:themeColor="text1"/>
        </w:rPr>
        <w:t>posiada</w:t>
      </w:r>
      <w:r w:rsidRPr="002D6A76">
        <w:rPr>
          <w:color w:val="000000" w:themeColor="text1"/>
        </w:rPr>
        <w:t xml:space="preserve">ją odpowiedni </w:t>
      </w:r>
      <w:r w:rsidRPr="005B04A9">
        <w:rPr>
          <w:color w:val="000000" w:themeColor="text1"/>
        </w:rPr>
        <w:t>potencjał, techniczn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i osobow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niezbędn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do </w:t>
      </w:r>
      <w:r w:rsidR="00CA0E18">
        <w:rPr>
          <w:color w:val="000000" w:themeColor="text1"/>
        </w:rPr>
        <w:t xml:space="preserve">terminowego </w:t>
      </w:r>
      <w:r w:rsidRPr="005B04A9">
        <w:rPr>
          <w:color w:val="000000" w:themeColor="text1"/>
        </w:rPr>
        <w:t>wykonania przedmiotu zamówienia</w:t>
      </w:r>
      <w:bookmarkEnd w:id="2"/>
      <w:r w:rsidRPr="002D6A76">
        <w:rPr>
          <w:color w:val="000000" w:themeColor="text1"/>
        </w:rPr>
        <w:t>,</w:t>
      </w:r>
    </w:p>
    <w:p w14:paraId="2F8E7081" w14:textId="2875C08C" w:rsidR="009663B9" w:rsidRPr="002D6A76" w:rsidRDefault="00B41A33" w:rsidP="00686E4E">
      <w:pPr>
        <w:jc w:val="both"/>
        <w:rPr>
          <w:color w:val="000000" w:themeColor="text1"/>
        </w:rPr>
      </w:pPr>
      <w:r w:rsidRPr="002D6A76">
        <w:rPr>
          <w:color w:val="000000" w:themeColor="text1"/>
        </w:rPr>
        <w:t xml:space="preserve">Informacje </w:t>
      </w:r>
      <w:r w:rsidR="00DB53C9" w:rsidRPr="002D6A76">
        <w:rPr>
          <w:color w:val="000000" w:themeColor="text1"/>
        </w:rPr>
        <w:t>o spełnianiu warunków udziału w postępowaniu</w:t>
      </w:r>
      <w:r w:rsidRPr="002D6A76">
        <w:rPr>
          <w:color w:val="000000" w:themeColor="text1"/>
        </w:rPr>
        <w:t xml:space="preserve"> wykonawcy </w:t>
      </w:r>
      <w:r w:rsidR="00DB53C9" w:rsidRPr="002D6A76">
        <w:rPr>
          <w:color w:val="000000" w:themeColor="text1"/>
        </w:rPr>
        <w:t>składają na formularzu ofertowym.</w:t>
      </w:r>
      <w:r w:rsidRPr="002D6A76">
        <w:rPr>
          <w:color w:val="000000" w:themeColor="text1"/>
        </w:rPr>
        <w:t xml:space="preserve"> </w:t>
      </w:r>
    </w:p>
    <w:p w14:paraId="32B39C78" w14:textId="170DE54E" w:rsidR="008F18D9" w:rsidRDefault="008F18D9" w:rsidP="00A41C29">
      <w:pPr>
        <w:shd w:val="clear" w:color="auto" w:fill="FFFFFF"/>
        <w:tabs>
          <w:tab w:val="left" w:pos="245"/>
        </w:tabs>
        <w:jc w:val="both"/>
      </w:pPr>
    </w:p>
    <w:p w14:paraId="47F24B44" w14:textId="77777777" w:rsidR="00687AD6" w:rsidRDefault="00687AD6" w:rsidP="00A41C29">
      <w:pPr>
        <w:shd w:val="clear" w:color="auto" w:fill="FFFFFF"/>
        <w:tabs>
          <w:tab w:val="left" w:pos="245"/>
        </w:tabs>
        <w:jc w:val="both"/>
      </w:pPr>
    </w:p>
    <w:p w14:paraId="23A424C8" w14:textId="77777777" w:rsidR="00220C9E" w:rsidRPr="00811942" w:rsidRDefault="00220C9E" w:rsidP="00A41C29">
      <w:pPr>
        <w:shd w:val="clear" w:color="auto" w:fill="FFFFFF"/>
        <w:tabs>
          <w:tab w:val="left" w:pos="245"/>
        </w:tabs>
        <w:jc w:val="both"/>
        <w:rPr>
          <w:b/>
        </w:rPr>
      </w:pPr>
      <w:r w:rsidRPr="00811942">
        <w:rPr>
          <w:b/>
        </w:rPr>
        <w:t>7. Opis sposobu przygotowania oferty</w:t>
      </w:r>
    </w:p>
    <w:p w14:paraId="6B23E272" w14:textId="77777777" w:rsidR="00220C9E" w:rsidRPr="00811942" w:rsidRDefault="00220C9E" w:rsidP="00A41C29">
      <w:pPr>
        <w:numPr>
          <w:ilvl w:val="0"/>
          <w:numId w:val="7"/>
        </w:numPr>
        <w:suppressAutoHyphens/>
        <w:ind w:left="426"/>
        <w:jc w:val="both"/>
      </w:pPr>
      <w:r w:rsidRPr="00811942">
        <w:t>Wykonawca może złożyć tylko jedną ofertę. Złożenie większej liczby ofert spowoduje odrzucenie wszystkich ofert złożonych przez Wykonawcę.</w:t>
      </w:r>
    </w:p>
    <w:p w14:paraId="36880922" w14:textId="77777777" w:rsidR="00220C9E" w:rsidRPr="00811942" w:rsidRDefault="00220C9E" w:rsidP="00A41C29">
      <w:pPr>
        <w:numPr>
          <w:ilvl w:val="0"/>
          <w:numId w:val="7"/>
        </w:numPr>
        <w:suppressAutoHyphens/>
        <w:ind w:left="426"/>
        <w:jc w:val="both"/>
      </w:pPr>
      <w:r w:rsidRPr="00811942">
        <w:t>Oferta wraz z załącznikami musi być podpisana przez osobę upoważnioną do reprezentowania Wykonawcy. Upoważnienie do podpisania musi być dołączone do oferty (zgodnie z wymaganiami Kodeksu cywilnego), jeżeli nie wynika ono z innych dokumentów załączonych przez Wykonawcę.</w:t>
      </w:r>
    </w:p>
    <w:p w14:paraId="1BD32775" w14:textId="0EB144A2" w:rsidR="00220C9E" w:rsidRPr="00811942" w:rsidRDefault="00220C9E" w:rsidP="00A41C29">
      <w:pPr>
        <w:numPr>
          <w:ilvl w:val="0"/>
          <w:numId w:val="7"/>
        </w:numPr>
        <w:suppressAutoHyphens/>
        <w:ind w:left="426"/>
        <w:jc w:val="both"/>
      </w:pPr>
      <w:r w:rsidRPr="00811942">
        <w:t xml:space="preserve">Ofertę należy sporządzić zgodnie z wzorcowym formularzem oferty, stanowiącym załącznik numer </w:t>
      </w:r>
      <w:r w:rsidR="009D0A62">
        <w:t>2</w:t>
      </w:r>
      <w:r w:rsidRPr="00811942">
        <w:t xml:space="preserve"> do ogłoszenia.</w:t>
      </w:r>
    </w:p>
    <w:p w14:paraId="4B36324F" w14:textId="77777777" w:rsidR="00220C9E" w:rsidRPr="00811942" w:rsidRDefault="00220C9E" w:rsidP="00A41C29">
      <w:pPr>
        <w:numPr>
          <w:ilvl w:val="0"/>
          <w:numId w:val="7"/>
        </w:numPr>
        <w:suppressAutoHyphens/>
        <w:ind w:left="426"/>
        <w:jc w:val="both"/>
      </w:pPr>
      <w:r w:rsidRPr="00811942">
        <w:t>Na ofertę składa się w szczególności:</w:t>
      </w:r>
    </w:p>
    <w:p w14:paraId="7934CCF9" w14:textId="265F9F11" w:rsidR="00220C9E" w:rsidRPr="00811942" w:rsidRDefault="00220C9E" w:rsidP="00A41C29">
      <w:pPr>
        <w:pStyle w:val="Akapitzlist"/>
        <w:numPr>
          <w:ilvl w:val="0"/>
          <w:numId w:val="8"/>
        </w:numPr>
        <w:suppressAutoHyphens/>
        <w:ind w:left="851"/>
        <w:jc w:val="both"/>
      </w:pPr>
      <w:r w:rsidRPr="00811942">
        <w:t xml:space="preserve">wypełniony i podpisany formularz oferty, którego wzór stanowi załącznik numer </w:t>
      </w:r>
      <w:r w:rsidR="009D0A62">
        <w:t>2</w:t>
      </w:r>
      <w:r w:rsidRPr="00811942">
        <w:t xml:space="preserve"> </w:t>
      </w:r>
      <w:r w:rsidRPr="00811942">
        <w:br/>
        <w:t>do ogłoszenia,</w:t>
      </w:r>
    </w:p>
    <w:p w14:paraId="79A86936" w14:textId="7B69B023" w:rsidR="00220C9E" w:rsidRDefault="00220C9E" w:rsidP="00A41C29">
      <w:pPr>
        <w:pStyle w:val="Akapitzlist"/>
        <w:numPr>
          <w:ilvl w:val="0"/>
          <w:numId w:val="8"/>
        </w:numPr>
        <w:suppressAutoHyphens/>
        <w:ind w:left="851"/>
        <w:jc w:val="both"/>
      </w:pPr>
      <w:r w:rsidRPr="00811942">
        <w:t>pełnomocnictwo do podpisania oferty, o ile prawo do podpisania oferty nie wynika</w:t>
      </w:r>
      <w:r w:rsidRPr="00811942">
        <w:br/>
        <w:t>z innych dokumentów złożonych wraz z ofertą. Przyjmuje się, że pełnomocnictwo</w:t>
      </w:r>
      <w:r w:rsidRPr="00811942">
        <w:br/>
        <w:t>do podpisania oferty obejmuje pełnomocnictwo do poświadczenia „za zgodność</w:t>
      </w:r>
      <w:r w:rsidRPr="00811942">
        <w:br/>
        <w:t>z oryginałem” wszystkich kopii dokumentów składanych wraz z ofertą. Składane pełnomocnictwo winno być złożone w oryginale lub notarialnie poświadczonej kopii.</w:t>
      </w:r>
      <w:r w:rsidRPr="00811942">
        <w:br/>
        <w:t>Nie dopuszcza się potwierdzenia „za zgodność z oryginałem” kopii pełnomocnictwa przez pełnomocnika, któremu zostało ono udzielone.</w:t>
      </w:r>
    </w:p>
    <w:p w14:paraId="209735D0" w14:textId="43D1D033" w:rsidR="003A02F3" w:rsidRPr="00811942" w:rsidRDefault="003A02F3" w:rsidP="003A02F3">
      <w:pPr>
        <w:pStyle w:val="Akapitzlist"/>
        <w:suppressAutoHyphens/>
        <w:ind w:left="851"/>
        <w:jc w:val="both"/>
      </w:pPr>
    </w:p>
    <w:p w14:paraId="797FCB55" w14:textId="54C104BB" w:rsidR="00220C9E" w:rsidRPr="003A02F3" w:rsidRDefault="00220C9E" w:rsidP="003A02F3">
      <w:pPr>
        <w:numPr>
          <w:ilvl w:val="0"/>
          <w:numId w:val="7"/>
        </w:numPr>
        <w:suppressAutoHyphens/>
        <w:ind w:left="425" w:hanging="357"/>
        <w:jc w:val="both"/>
      </w:pPr>
      <w:r w:rsidRPr="00811942">
        <w:t xml:space="preserve">Ofertę wraz ze wszystkimi załącznikami należy </w:t>
      </w:r>
      <w:r w:rsidR="003A02F3">
        <w:t>złożyć poprzez platformę zakupową.</w:t>
      </w:r>
    </w:p>
    <w:p w14:paraId="297F4B59" w14:textId="1A6ACE11" w:rsidR="00220C9E" w:rsidRPr="00811942" w:rsidRDefault="00220C9E" w:rsidP="003A02F3">
      <w:pPr>
        <w:ind w:left="68"/>
        <w:jc w:val="both"/>
      </w:pPr>
      <w:r w:rsidRPr="00811942">
        <w:t xml:space="preserve"> </w:t>
      </w:r>
    </w:p>
    <w:p w14:paraId="1290F4E0" w14:textId="77777777" w:rsidR="006E7D6C" w:rsidRPr="00811942" w:rsidRDefault="006E7D6C" w:rsidP="00A41C29">
      <w:pPr>
        <w:pStyle w:val="Akapitzlist"/>
        <w:ind w:left="0"/>
        <w:jc w:val="both"/>
        <w:rPr>
          <w:b/>
        </w:rPr>
      </w:pPr>
    </w:p>
    <w:p w14:paraId="57A29177" w14:textId="77777777" w:rsidR="008B1946" w:rsidRPr="002D6A76" w:rsidRDefault="008B1946" w:rsidP="00A41C29">
      <w:pPr>
        <w:pStyle w:val="Akapitzlist"/>
        <w:ind w:left="0"/>
        <w:jc w:val="both"/>
        <w:rPr>
          <w:b/>
          <w:color w:val="000000" w:themeColor="text1"/>
        </w:rPr>
      </w:pPr>
      <w:r w:rsidRPr="002D6A76">
        <w:rPr>
          <w:b/>
          <w:color w:val="000000" w:themeColor="text1"/>
        </w:rPr>
        <w:t>8. Opis sposobu obliczenia ceny</w:t>
      </w:r>
    </w:p>
    <w:p w14:paraId="12B36703" w14:textId="77777777" w:rsidR="008B1946" w:rsidRPr="002D6A76" w:rsidRDefault="008B1946" w:rsidP="00A41C2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  <w:spacing w:val="-2"/>
        </w:rPr>
      </w:pPr>
      <w:r w:rsidRPr="002D6A76">
        <w:rPr>
          <w:color w:val="000000" w:themeColor="text1"/>
          <w:spacing w:val="-2"/>
        </w:rPr>
        <w:t xml:space="preserve">Cenę ofertową stanowić będzie kwota wynagrodzenia brutto (cena oferty brutto), wraz </w:t>
      </w:r>
      <w:r w:rsidR="00047933" w:rsidRPr="002D6A76">
        <w:rPr>
          <w:color w:val="000000" w:themeColor="text1"/>
          <w:spacing w:val="-2"/>
        </w:rPr>
        <w:t xml:space="preserve">              </w:t>
      </w:r>
      <w:r w:rsidRPr="002D6A76">
        <w:rPr>
          <w:color w:val="000000" w:themeColor="text1"/>
          <w:spacing w:val="-2"/>
        </w:rPr>
        <w:t>z podatkiem VAT.</w:t>
      </w:r>
    </w:p>
    <w:p w14:paraId="07839D55" w14:textId="77777777" w:rsidR="008B1946" w:rsidRPr="00243B43" w:rsidRDefault="008B1946" w:rsidP="00A41C29">
      <w:pPr>
        <w:pStyle w:val="Akapitzlist"/>
        <w:numPr>
          <w:ilvl w:val="0"/>
          <w:numId w:val="3"/>
        </w:numPr>
        <w:ind w:left="426"/>
        <w:jc w:val="both"/>
        <w:rPr>
          <w:spacing w:val="-2"/>
        </w:rPr>
      </w:pPr>
      <w:r w:rsidRPr="002D6A76">
        <w:rPr>
          <w:color w:val="000000" w:themeColor="text1"/>
          <w:spacing w:val="-2"/>
        </w:rPr>
        <w:t>Cena oferty brutto</w:t>
      </w:r>
      <w:r w:rsidRPr="002D6A76">
        <w:rPr>
          <w:i/>
          <w:color w:val="000000" w:themeColor="text1"/>
          <w:spacing w:val="-2"/>
        </w:rPr>
        <w:t xml:space="preserve"> </w:t>
      </w:r>
      <w:r w:rsidRPr="002D6A76">
        <w:rPr>
          <w:color w:val="000000" w:themeColor="text1"/>
          <w:spacing w:val="-2"/>
        </w:rPr>
        <w:t xml:space="preserve">musi być podana </w:t>
      </w:r>
      <w:r w:rsidRPr="00243B43">
        <w:rPr>
          <w:spacing w:val="-2"/>
        </w:rPr>
        <w:t>w złotych polskich.</w:t>
      </w:r>
    </w:p>
    <w:p w14:paraId="5F37850B" w14:textId="77777777" w:rsidR="008B1946" w:rsidRPr="00243B43" w:rsidRDefault="008B1946" w:rsidP="00A41C29">
      <w:pPr>
        <w:pStyle w:val="Akapitzlist"/>
        <w:numPr>
          <w:ilvl w:val="0"/>
          <w:numId w:val="3"/>
        </w:numPr>
        <w:ind w:left="426"/>
        <w:jc w:val="both"/>
      </w:pPr>
      <w:r w:rsidRPr="00243B43">
        <w:t>W cenie oferty należy uwzględnić w</w:t>
      </w:r>
      <w:r w:rsidR="000A5D31" w:rsidRPr="00243B43">
        <w:t>szelkie koszty, które poniesie w</w:t>
      </w:r>
      <w:r w:rsidRPr="00243B43">
        <w:t>ykonawca w związku                        z prawidłową i pełną realizacją zamówienia, zgodnie z zakresem zamówienia</w:t>
      </w:r>
      <w:r w:rsidR="00047933" w:rsidRPr="00243B43">
        <w:t xml:space="preserve">                              </w:t>
      </w:r>
      <w:r w:rsidR="000A5D31" w:rsidRPr="00243B43">
        <w:t xml:space="preserve"> i warunkami określonymi przez z</w:t>
      </w:r>
      <w:r w:rsidRPr="00243B43">
        <w:t xml:space="preserve">amawiającego. </w:t>
      </w:r>
    </w:p>
    <w:p w14:paraId="6FF7D58E" w14:textId="77777777" w:rsidR="008B1946" w:rsidRPr="00243B43" w:rsidRDefault="008B1946" w:rsidP="00A41C29">
      <w:pPr>
        <w:pStyle w:val="Akapitzlist"/>
        <w:numPr>
          <w:ilvl w:val="0"/>
          <w:numId w:val="3"/>
        </w:numPr>
        <w:ind w:left="426"/>
        <w:jc w:val="both"/>
      </w:pPr>
      <w:r w:rsidRPr="00243B43">
        <w:t>Do wyliczenia cen brutto za wy</w:t>
      </w:r>
      <w:r w:rsidR="000A5D31" w:rsidRPr="00243B43">
        <w:t>konanie przedmiotu zamówienia, w</w:t>
      </w:r>
      <w:r w:rsidRPr="00243B43">
        <w:t>ykonawca zastosuje właściwą stawkę podatku od towarów i usług (VAT) w wysokości procentowej obowiązującej w dniu składania ofert. Wykonawca ponosi odpowiedzialność za właściwe określenie stawki podatku od towarów i usług (VAT) zgodnie z obowiązującymi przepisami prawa.</w:t>
      </w:r>
    </w:p>
    <w:p w14:paraId="11C88B45" w14:textId="77777777" w:rsidR="008B1946" w:rsidRPr="00243B43" w:rsidRDefault="008B1946" w:rsidP="00A41C29">
      <w:pPr>
        <w:pStyle w:val="Akapitzlist"/>
        <w:numPr>
          <w:ilvl w:val="0"/>
          <w:numId w:val="3"/>
        </w:numPr>
        <w:ind w:left="426"/>
        <w:jc w:val="both"/>
      </w:pPr>
      <w:r w:rsidRPr="00243B43">
        <w:t>Wszystkie składniki cenowe określone w ofercie powinny być liczone i podane z dokładnością do dwóch miejsc po przecinku, przy zachowaniu matematycznej zasady zaokrąglania liczb.</w:t>
      </w:r>
    </w:p>
    <w:p w14:paraId="55939215" w14:textId="77777777" w:rsidR="008B1946" w:rsidRPr="00243B43" w:rsidRDefault="008B1946" w:rsidP="00A41C29">
      <w:pPr>
        <w:pStyle w:val="Akapitzlist"/>
        <w:numPr>
          <w:ilvl w:val="0"/>
          <w:numId w:val="3"/>
        </w:numPr>
        <w:ind w:left="426"/>
        <w:jc w:val="both"/>
      </w:pPr>
      <w:r w:rsidRPr="00243B43">
        <w:rPr>
          <w:rFonts w:eastAsia="TimesNewRoman"/>
        </w:rPr>
        <w:lastRenderedPageBreak/>
        <w:t>Zamawiający poprawi w ofercie oczywiste omyłki rachunkowe z uwzględnieniem konsekwencji rachunkowych dokonanych poprawek, ni</w:t>
      </w:r>
      <w:r w:rsidR="000A5D31" w:rsidRPr="00243B43">
        <w:rPr>
          <w:rFonts w:eastAsia="TimesNewRoman"/>
        </w:rPr>
        <w:t>ezwłocznie zawiadamiając o tym w</w:t>
      </w:r>
      <w:r w:rsidRPr="00243B43">
        <w:rPr>
          <w:rFonts w:eastAsia="TimesNewRoman"/>
        </w:rPr>
        <w:t>ykonawcę, którego oferta została poprawiona.</w:t>
      </w:r>
    </w:p>
    <w:p w14:paraId="17BFC2C2" w14:textId="329F56BB" w:rsidR="003A02F3" w:rsidRDefault="003A02F3" w:rsidP="00A41C29">
      <w:pPr>
        <w:pStyle w:val="Akapitzlist"/>
        <w:tabs>
          <w:tab w:val="left" w:pos="1134"/>
        </w:tabs>
        <w:ind w:left="0"/>
        <w:jc w:val="both"/>
      </w:pPr>
    </w:p>
    <w:p w14:paraId="25CF1E00" w14:textId="77777777" w:rsidR="003A02F3" w:rsidRDefault="003A02F3" w:rsidP="00A41C29">
      <w:pPr>
        <w:pStyle w:val="Akapitzlist"/>
        <w:tabs>
          <w:tab w:val="left" w:pos="1134"/>
        </w:tabs>
        <w:ind w:left="0"/>
        <w:jc w:val="both"/>
      </w:pPr>
    </w:p>
    <w:p w14:paraId="1F103A6F" w14:textId="77777777" w:rsidR="008B1946" w:rsidRPr="00243B43" w:rsidRDefault="008B1946" w:rsidP="00A41C29">
      <w:pPr>
        <w:pStyle w:val="Akapitzlist"/>
        <w:ind w:left="0"/>
        <w:rPr>
          <w:b/>
        </w:rPr>
      </w:pPr>
      <w:r w:rsidRPr="00243B43">
        <w:rPr>
          <w:b/>
        </w:rPr>
        <w:t>9. Kryteria oceny ofert</w:t>
      </w:r>
    </w:p>
    <w:p w14:paraId="3B95C1BE" w14:textId="34CC19FF" w:rsidR="00FB1D3D" w:rsidRDefault="000421B4" w:rsidP="00A41C29">
      <w:pPr>
        <w:shd w:val="clear" w:color="auto" w:fill="FFFFFF"/>
        <w:tabs>
          <w:tab w:val="left" w:pos="1240"/>
        </w:tabs>
        <w:jc w:val="both"/>
      </w:pPr>
      <w:r>
        <w:t>Wybór najkorzystniejszej oferty nastąpi na podstawie następujących kryteriów:</w:t>
      </w:r>
    </w:p>
    <w:p w14:paraId="311856FA" w14:textId="77777777" w:rsidR="004030AE" w:rsidRDefault="004030AE" w:rsidP="00A41C29">
      <w:pPr>
        <w:shd w:val="clear" w:color="auto" w:fill="FFFFFF"/>
        <w:tabs>
          <w:tab w:val="left" w:pos="1240"/>
        </w:tabs>
        <w:jc w:val="both"/>
        <w:rPr>
          <w:u w:val="single"/>
        </w:rPr>
      </w:pPr>
    </w:p>
    <w:p w14:paraId="4EFD30C5" w14:textId="77777777" w:rsidR="007E7BC9" w:rsidRDefault="000421B4" w:rsidP="00A41C29">
      <w:pPr>
        <w:shd w:val="clear" w:color="auto" w:fill="FFFFFF"/>
        <w:tabs>
          <w:tab w:val="left" w:pos="1240"/>
        </w:tabs>
        <w:jc w:val="both"/>
      </w:pPr>
      <w:r w:rsidRPr="000421B4">
        <w:rPr>
          <w:u w:val="single"/>
        </w:rPr>
        <w:t>Kryterium 1</w:t>
      </w:r>
      <w:r>
        <w:t xml:space="preserve">: </w:t>
      </w:r>
    </w:p>
    <w:p w14:paraId="150E26AD" w14:textId="28529B54" w:rsidR="000421B4" w:rsidRDefault="000421B4" w:rsidP="00A41C29">
      <w:pPr>
        <w:shd w:val="clear" w:color="auto" w:fill="FFFFFF"/>
        <w:tabs>
          <w:tab w:val="left" w:pos="1240"/>
        </w:tabs>
        <w:jc w:val="both"/>
      </w:pPr>
      <w:r>
        <w:t xml:space="preserve">cena – waga </w:t>
      </w:r>
      <w:r w:rsidR="008F18D9">
        <w:t>10</w:t>
      </w:r>
      <w:r>
        <w:t xml:space="preserve">0% (0 – </w:t>
      </w:r>
      <w:r w:rsidR="008F18D9">
        <w:t>10</w:t>
      </w:r>
      <w:r>
        <w:t>0 pkt.)</w:t>
      </w:r>
    </w:p>
    <w:p w14:paraId="075C5D5C" w14:textId="7020F0AE" w:rsidR="007E7BC9" w:rsidRDefault="007E7BC9" w:rsidP="00A41C29">
      <w:pPr>
        <w:shd w:val="clear" w:color="auto" w:fill="FFFFFF"/>
        <w:tabs>
          <w:tab w:val="left" w:pos="1240"/>
        </w:tabs>
        <w:jc w:val="both"/>
      </w:pPr>
      <w:r>
        <w:t>Ocena następuje na podstawie podanej ceny realizacji całego zamówienia, uwzględniającego wszystkie koszty jego realizacji.</w:t>
      </w:r>
    </w:p>
    <w:p w14:paraId="76BD0B1B" w14:textId="77777777" w:rsidR="007E7BC9" w:rsidRDefault="007E7BC9" w:rsidP="00A41C29">
      <w:pPr>
        <w:shd w:val="clear" w:color="auto" w:fill="FFFFFF"/>
        <w:tabs>
          <w:tab w:val="left" w:pos="1240"/>
        </w:tabs>
        <w:jc w:val="both"/>
      </w:pPr>
    </w:p>
    <w:p w14:paraId="5CEEF85F" w14:textId="2E1F02D9" w:rsidR="000421B4" w:rsidRDefault="004030AE" w:rsidP="00A41C29">
      <w:pPr>
        <w:shd w:val="clear" w:color="auto" w:fill="FFFFFF"/>
        <w:tabs>
          <w:tab w:val="left" w:pos="1240"/>
        </w:tabs>
        <w:jc w:val="both"/>
      </w:pPr>
      <w:r>
        <w:t>Liczba punktów w tym kryterium zostanie obliczona wg następującego wzoru:</w:t>
      </w:r>
    </w:p>
    <w:tbl>
      <w:tblPr>
        <w:tblStyle w:val="Tabela-Siatka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1418"/>
      </w:tblGrid>
      <w:tr w:rsidR="004030AE" w14:paraId="301BC49B" w14:textId="77777777" w:rsidTr="00F83C3C"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E87C7C1" w14:textId="6D0313AB" w:rsidR="004030AE" w:rsidRDefault="00F83C3C" w:rsidP="00A41C29">
            <w:pPr>
              <w:shd w:val="clear" w:color="auto" w:fill="FFFFFF"/>
              <w:tabs>
                <w:tab w:val="left" w:pos="1240"/>
              </w:tabs>
              <w:jc w:val="center"/>
            </w:pPr>
            <w:r>
              <w:t>najniższa cena</w:t>
            </w:r>
          </w:p>
        </w:tc>
        <w:tc>
          <w:tcPr>
            <w:tcW w:w="1418" w:type="dxa"/>
            <w:vMerge w:val="restart"/>
            <w:vAlign w:val="center"/>
          </w:tcPr>
          <w:p w14:paraId="6A072B7A" w14:textId="196CFDD7" w:rsidR="004030AE" w:rsidRDefault="00F83C3C" w:rsidP="00A41C29">
            <w:pPr>
              <w:tabs>
                <w:tab w:val="left" w:pos="1240"/>
              </w:tabs>
              <w:jc w:val="center"/>
            </w:pPr>
            <w:r>
              <w:t xml:space="preserve">x </w:t>
            </w:r>
            <w:r w:rsidR="008F18D9">
              <w:t>10</w:t>
            </w:r>
            <w:r>
              <w:t>0 pkt.</w:t>
            </w:r>
          </w:p>
        </w:tc>
      </w:tr>
      <w:tr w:rsidR="004030AE" w14:paraId="2E2172BB" w14:textId="77777777" w:rsidTr="00F83C3C"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34524D9E" w14:textId="6F0F5AC2" w:rsidR="004030AE" w:rsidRDefault="00F83C3C" w:rsidP="00A41C29">
            <w:pPr>
              <w:tabs>
                <w:tab w:val="left" w:pos="1240"/>
              </w:tabs>
              <w:jc w:val="center"/>
            </w:pPr>
            <w:r>
              <w:t>cena badanej oferty</w:t>
            </w:r>
          </w:p>
        </w:tc>
        <w:tc>
          <w:tcPr>
            <w:tcW w:w="1418" w:type="dxa"/>
            <w:vMerge/>
          </w:tcPr>
          <w:p w14:paraId="54788209" w14:textId="77777777" w:rsidR="004030AE" w:rsidRDefault="004030AE" w:rsidP="00A41C29">
            <w:pPr>
              <w:tabs>
                <w:tab w:val="left" w:pos="1240"/>
              </w:tabs>
              <w:jc w:val="both"/>
            </w:pPr>
          </w:p>
        </w:tc>
      </w:tr>
    </w:tbl>
    <w:p w14:paraId="2591BA3E" w14:textId="62A29A1D" w:rsidR="004030AE" w:rsidRDefault="004030AE" w:rsidP="00A41C29">
      <w:pPr>
        <w:shd w:val="clear" w:color="auto" w:fill="FFFFFF"/>
        <w:tabs>
          <w:tab w:val="left" w:pos="1240"/>
        </w:tabs>
        <w:jc w:val="both"/>
      </w:pPr>
    </w:p>
    <w:p w14:paraId="580AA4A7" w14:textId="5365B28E" w:rsidR="003076D6" w:rsidRPr="00BC7C29" w:rsidRDefault="008F18D9" w:rsidP="00BC7C29">
      <w:pPr>
        <w:shd w:val="clear" w:color="auto" w:fill="FFFFFF"/>
        <w:tabs>
          <w:tab w:val="left" w:pos="1240"/>
        </w:tabs>
        <w:jc w:val="both"/>
      </w:pPr>
      <w:r>
        <w:rPr>
          <w:u w:val="single"/>
        </w:rPr>
        <w:t xml:space="preserve"> </w:t>
      </w:r>
    </w:p>
    <w:p w14:paraId="2517493C" w14:textId="77777777" w:rsidR="003F3661" w:rsidRPr="0009667C" w:rsidRDefault="003F3661" w:rsidP="00A41C29">
      <w:pPr>
        <w:pStyle w:val="Akapitzlist"/>
        <w:ind w:left="0"/>
        <w:rPr>
          <w:rFonts w:eastAsia="TimesNewRoman"/>
        </w:rPr>
      </w:pPr>
      <w:r w:rsidRPr="0009667C">
        <w:rPr>
          <w:b/>
        </w:rPr>
        <w:t>10. Termin, miejsce oraz sposób składania i otwarcia ofert</w:t>
      </w:r>
    </w:p>
    <w:p w14:paraId="09613A2C" w14:textId="77777777" w:rsidR="003F3661" w:rsidRPr="0009667C" w:rsidRDefault="003F3661" w:rsidP="00104DCE">
      <w:pPr>
        <w:pStyle w:val="Akapitzlist"/>
        <w:numPr>
          <w:ilvl w:val="0"/>
          <w:numId w:val="9"/>
        </w:numPr>
        <w:ind w:left="709" w:hanging="283"/>
        <w:rPr>
          <w:b/>
          <w:lang w:bidi="en-US"/>
        </w:rPr>
      </w:pPr>
      <w:r w:rsidRPr="0009667C">
        <w:rPr>
          <w:b/>
          <w:bCs/>
          <w:lang w:bidi="en-US"/>
        </w:rPr>
        <w:t>Termin składania ofert:</w:t>
      </w:r>
    </w:p>
    <w:p w14:paraId="72016660" w14:textId="6188854A" w:rsidR="003F3661" w:rsidRPr="0009667C" w:rsidRDefault="003F3661" w:rsidP="00104DCE">
      <w:pPr>
        <w:pStyle w:val="Akapitzlist"/>
        <w:suppressAutoHyphens/>
        <w:ind w:left="709"/>
        <w:jc w:val="both"/>
        <w:rPr>
          <w:b/>
          <w:lang w:bidi="en-US"/>
        </w:rPr>
      </w:pPr>
      <w:bookmarkStart w:id="3" w:name="OLE_LINK131"/>
      <w:r w:rsidRPr="0009667C">
        <w:rPr>
          <w:lang w:bidi="en-US"/>
        </w:rPr>
        <w:t xml:space="preserve">Termin składania ofert upływa </w:t>
      </w:r>
      <w:r w:rsidRPr="0009667C">
        <w:rPr>
          <w:b/>
          <w:lang w:bidi="en-US"/>
        </w:rPr>
        <w:t xml:space="preserve">w dniu </w:t>
      </w:r>
      <w:r w:rsidR="0009667C" w:rsidRPr="0009667C">
        <w:rPr>
          <w:b/>
          <w:lang w:bidi="en-US"/>
        </w:rPr>
        <w:t>22</w:t>
      </w:r>
      <w:r w:rsidR="00443C8F" w:rsidRPr="0009667C">
        <w:rPr>
          <w:b/>
          <w:lang w:bidi="en-US"/>
        </w:rPr>
        <w:t xml:space="preserve"> </w:t>
      </w:r>
      <w:r w:rsidR="00D52E83" w:rsidRPr="0009667C">
        <w:rPr>
          <w:b/>
          <w:lang w:bidi="en-US"/>
        </w:rPr>
        <w:t xml:space="preserve">czerwca </w:t>
      </w:r>
      <w:r w:rsidRPr="0009667C">
        <w:rPr>
          <w:b/>
          <w:lang w:bidi="en-US"/>
        </w:rPr>
        <w:t>2022 r. o godzinie 10:00.</w:t>
      </w:r>
    </w:p>
    <w:p w14:paraId="3AC15A26" w14:textId="7323DC34" w:rsidR="003F3661" w:rsidRPr="0009667C" w:rsidRDefault="003F3661" w:rsidP="00104DCE">
      <w:pPr>
        <w:pStyle w:val="Akapitzlist"/>
        <w:suppressAutoHyphens/>
        <w:ind w:left="709"/>
        <w:jc w:val="both"/>
        <w:rPr>
          <w:lang w:bidi="en-US"/>
        </w:rPr>
      </w:pPr>
      <w:r w:rsidRPr="0009667C">
        <w:rPr>
          <w:lang w:bidi="en-US"/>
        </w:rPr>
        <w:t xml:space="preserve">Wszystkie oferty złożone po tym terminie nie będą rozpatrywane i zostaną bez ich otwierania </w:t>
      </w:r>
      <w:r w:rsidR="00CC48E3" w:rsidRPr="0009667C">
        <w:rPr>
          <w:lang w:bidi="en-US"/>
        </w:rPr>
        <w:t xml:space="preserve">zwrócone </w:t>
      </w:r>
      <w:r w:rsidRPr="0009667C">
        <w:rPr>
          <w:lang w:bidi="en-US"/>
        </w:rPr>
        <w:t>Wykonawcom.</w:t>
      </w:r>
    </w:p>
    <w:bookmarkEnd w:id="3"/>
    <w:p w14:paraId="39F666E8" w14:textId="77777777" w:rsidR="003F3661" w:rsidRPr="0009667C" w:rsidRDefault="003F3661" w:rsidP="00A41C29">
      <w:pPr>
        <w:pStyle w:val="Akapitzlist"/>
        <w:numPr>
          <w:ilvl w:val="0"/>
          <w:numId w:val="9"/>
        </w:numPr>
        <w:autoSpaceDE w:val="0"/>
        <w:ind w:left="709"/>
        <w:rPr>
          <w:b/>
          <w:lang w:bidi="en-US"/>
        </w:rPr>
      </w:pPr>
      <w:r w:rsidRPr="0009667C">
        <w:rPr>
          <w:b/>
          <w:bCs/>
          <w:lang w:bidi="en-US"/>
        </w:rPr>
        <w:t>Miejsce składania ofert:</w:t>
      </w:r>
    </w:p>
    <w:p w14:paraId="3CD69CD6" w14:textId="0EDBCC20" w:rsidR="003F3661" w:rsidRPr="0009667C" w:rsidRDefault="003A02F3" w:rsidP="003A02F3">
      <w:r w:rsidRPr="0009667C">
        <w:rPr>
          <w:lang w:bidi="en-US"/>
        </w:rPr>
        <w:t xml:space="preserve">            </w:t>
      </w:r>
      <w:r w:rsidR="003F3661" w:rsidRPr="0009667C">
        <w:rPr>
          <w:lang w:bidi="en-US"/>
        </w:rPr>
        <w:t xml:space="preserve">Oferty należy składać </w:t>
      </w:r>
      <w:r w:rsidRPr="0009667C">
        <w:rPr>
          <w:lang w:bidi="en-US"/>
        </w:rPr>
        <w:t xml:space="preserve">poprzez </w:t>
      </w:r>
      <w:hyperlink r:id="rId13" w:tgtFrame="_blank" w:tooltip="Link do Platformy zakupowej Gminy Ryczywół. Po klknięciu link otworzy się w nowym oknie " w:history="1">
        <w:r w:rsidRPr="0009667C">
          <w:rPr>
            <w:lang w:bidi="en-US"/>
          </w:rPr>
          <w:t>https://platformazakupowa.pl/pn/ryczywol</w:t>
        </w:r>
      </w:hyperlink>
      <w:r w:rsidR="0009667C">
        <w:rPr>
          <w:lang w:bidi="en-US"/>
        </w:rPr>
        <w:t xml:space="preserve"> </w:t>
      </w:r>
    </w:p>
    <w:p w14:paraId="4A6D96E4" w14:textId="4A5FF7FB" w:rsidR="004F4B1F" w:rsidRPr="0009667C" w:rsidRDefault="003F3661" w:rsidP="003A02F3">
      <w:pPr>
        <w:pStyle w:val="Akapitzlist"/>
        <w:numPr>
          <w:ilvl w:val="0"/>
          <w:numId w:val="9"/>
        </w:numPr>
        <w:autoSpaceDE w:val="0"/>
        <w:ind w:left="709"/>
        <w:rPr>
          <w:b/>
          <w:lang w:bidi="en-US"/>
        </w:rPr>
      </w:pPr>
      <w:r w:rsidRPr="0009667C">
        <w:rPr>
          <w:b/>
          <w:bCs/>
          <w:lang w:bidi="en-US"/>
        </w:rPr>
        <w:t>Miejsce i termin otwar</w:t>
      </w:r>
      <w:r w:rsidR="00262331" w:rsidRPr="0009667C">
        <w:rPr>
          <w:b/>
          <w:bCs/>
          <w:lang w:bidi="en-US"/>
        </w:rPr>
        <w:t xml:space="preserve">cia ofert </w:t>
      </w:r>
    </w:p>
    <w:p w14:paraId="5EB93132" w14:textId="3BAFF0D1" w:rsidR="00262331" w:rsidRPr="00262331" w:rsidRDefault="0009667C" w:rsidP="00262331">
      <w:pPr>
        <w:pStyle w:val="Akapitzlist"/>
        <w:autoSpaceDE w:val="0"/>
        <w:ind w:left="709"/>
        <w:rPr>
          <w:lang w:bidi="en-US"/>
        </w:rPr>
      </w:pPr>
      <w:r w:rsidRPr="0009667C">
        <w:rPr>
          <w:lang w:bidi="en-US"/>
        </w:rPr>
        <w:t>22</w:t>
      </w:r>
      <w:r w:rsidR="00262331" w:rsidRPr="0009667C">
        <w:rPr>
          <w:lang w:bidi="en-US"/>
        </w:rPr>
        <w:t xml:space="preserve"> </w:t>
      </w:r>
      <w:r w:rsidR="00D52E83" w:rsidRPr="0009667C">
        <w:rPr>
          <w:lang w:bidi="en-US"/>
        </w:rPr>
        <w:t xml:space="preserve">czerwca </w:t>
      </w:r>
      <w:r w:rsidR="00262331" w:rsidRPr="0009667C">
        <w:rPr>
          <w:lang w:bidi="en-US"/>
        </w:rPr>
        <w:t>2022</w:t>
      </w:r>
      <w:r w:rsidRPr="0009667C">
        <w:rPr>
          <w:lang w:bidi="en-US"/>
        </w:rPr>
        <w:t xml:space="preserve"> </w:t>
      </w:r>
      <w:r w:rsidR="00262331" w:rsidRPr="0009667C">
        <w:rPr>
          <w:lang w:bidi="en-US"/>
        </w:rPr>
        <w:t>r</w:t>
      </w:r>
      <w:r w:rsidRPr="0009667C">
        <w:rPr>
          <w:lang w:bidi="en-US"/>
        </w:rPr>
        <w:t>.</w:t>
      </w:r>
      <w:r w:rsidR="00262331" w:rsidRPr="0009667C">
        <w:rPr>
          <w:lang w:bidi="en-US"/>
        </w:rPr>
        <w:t xml:space="preserve"> o godz. 10:05</w:t>
      </w:r>
    </w:p>
    <w:p w14:paraId="0EE01FA5" w14:textId="77777777" w:rsidR="00262331" w:rsidRPr="003A02F3" w:rsidRDefault="00262331" w:rsidP="00262331">
      <w:pPr>
        <w:pStyle w:val="Akapitzlist"/>
        <w:autoSpaceDE w:val="0"/>
        <w:ind w:left="709"/>
        <w:rPr>
          <w:b/>
          <w:lang w:bidi="en-US"/>
        </w:rPr>
      </w:pPr>
    </w:p>
    <w:p w14:paraId="31EAEA4F" w14:textId="77777777" w:rsidR="003F3661" w:rsidRPr="00811942" w:rsidRDefault="003F3661" w:rsidP="00A41C29">
      <w:pPr>
        <w:pStyle w:val="Akapitzlist"/>
        <w:ind w:left="0"/>
        <w:jc w:val="both"/>
        <w:rPr>
          <w:b/>
        </w:rPr>
      </w:pPr>
      <w:r w:rsidRPr="00811942">
        <w:rPr>
          <w:b/>
        </w:rPr>
        <w:t>11. Informacje dotyczące wniesienia wadium</w:t>
      </w:r>
    </w:p>
    <w:p w14:paraId="53B7FD72" w14:textId="77777777" w:rsidR="003F3661" w:rsidRPr="00811942" w:rsidRDefault="003F3661" w:rsidP="00A41C29">
      <w:pPr>
        <w:pStyle w:val="Akapitzlist"/>
        <w:ind w:left="0"/>
        <w:jc w:val="both"/>
      </w:pPr>
      <w:r w:rsidRPr="00811942">
        <w:t>Zamawiający nie wymaga wniesienia wadium w przedmiotowym postępowaniu.</w:t>
      </w:r>
    </w:p>
    <w:p w14:paraId="3A72AA00" w14:textId="77777777" w:rsidR="003F3661" w:rsidRPr="00811942" w:rsidRDefault="003F3661" w:rsidP="00A41C29">
      <w:pPr>
        <w:pStyle w:val="Akapitzlist"/>
        <w:ind w:left="0"/>
        <w:jc w:val="both"/>
      </w:pPr>
    </w:p>
    <w:p w14:paraId="39FEA89D" w14:textId="371EBF33" w:rsidR="003F3661" w:rsidRPr="00686E4E" w:rsidRDefault="003F3661" w:rsidP="00686E4E">
      <w:pPr>
        <w:pStyle w:val="Akapitzlist"/>
        <w:ind w:left="0"/>
      </w:pPr>
      <w:r w:rsidRPr="00811942">
        <w:rPr>
          <w:b/>
        </w:rPr>
        <w:t>12. Unieważnienie postępowania</w:t>
      </w:r>
    </w:p>
    <w:p w14:paraId="79975803" w14:textId="77777777" w:rsidR="003F3661" w:rsidRPr="00811942" w:rsidRDefault="003F3661" w:rsidP="00A41C29">
      <w:pPr>
        <w:jc w:val="both"/>
      </w:pPr>
      <w:r w:rsidRPr="00811942">
        <w:t>Zamawiający zastrzega sobie prawo do unieważnienia postępowania, jeżeli:</w:t>
      </w:r>
    </w:p>
    <w:p w14:paraId="3E186825" w14:textId="77777777" w:rsidR="003F3661" w:rsidRPr="00811942" w:rsidRDefault="003F3661" w:rsidP="00A41C29">
      <w:pPr>
        <w:numPr>
          <w:ilvl w:val="1"/>
          <w:numId w:val="11"/>
        </w:numPr>
        <w:ind w:left="426"/>
        <w:jc w:val="both"/>
      </w:pPr>
      <w:r w:rsidRPr="00811942">
        <w:t>nie złożono żadnej ważnej oferty,</w:t>
      </w:r>
    </w:p>
    <w:p w14:paraId="4960336D" w14:textId="77777777" w:rsidR="003F3661" w:rsidRPr="00811942" w:rsidRDefault="003F3661" w:rsidP="00A41C29">
      <w:pPr>
        <w:numPr>
          <w:ilvl w:val="1"/>
          <w:numId w:val="11"/>
        </w:numPr>
        <w:ind w:left="426"/>
        <w:jc w:val="both"/>
      </w:pPr>
      <w:r w:rsidRPr="00811942">
        <w:t>cena najkorzystniejszej oferty, przewyższa kwotę jaka Zamawiający może przeznaczyć na sfinansowanie zamówienia,</w:t>
      </w:r>
    </w:p>
    <w:p w14:paraId="45FA482E" w14:textId="77777777" w:rsidR="00686EAE" w:rsidRDefault="003F3661" w:rsidP="00A41C29">
      <w:pPr>
        <w:numPr>
          <w:ilvl w:val="1"/>
          <w:numId w:val="11"/>
        </w:numPr>
        <w:ind w:left="426"/>
        <w:jc w:val="both"/>
      </w:pPr>
      <w:r w:rsidRPr="00811942">
        <w:t>postępowanie obarczone jest wadą uniemożliwiającą zawarcie ważnej umowy</w:t>
      </w:r>
      <w:r w:rsidR="00686EAE">
        <w:t>,</w:t>
      </w:r>
    </w:p>
    <w:p w14:paraId="0AA1AA3A" w14:textId="693352F1" w:rsidR="003F3661" w:rsidRPr="00811942" w:rsidRDefault="00686EAE" w:rsidP="00A41C29">
      <w:pPr>
        <w:numPr>
          <w:ilvl w:val="1"/>
          <w:numId w:val="11"/>
        </w:numPr>
        <w:ind w:left="426"/>
        <w:jc w:val="both"/>
      </w:pPr>
      <w:r>
        <w:t>oferent nie podpisze umowy w terminie 14 dni od przesłania jej do podpisu</w:t>
      </w:r>
      <w:r w:rsidR="003F3661" w:rsidRPr="00811942">
        <w:t>.</w:t>
      </w:r>
    </w:p>
    <w:p w14:paraId="5582ECF2" w14:textId="77777777" w:rsidR="00BB5CC7" w:rsidRPr="00811942" w:rsidRDefault="00BB5CC7" w:rsidP="00A41C29">
      <w:pPr>
        <w:pStyle w:val="Akapitzlist"/>
        <w:ind w:left="0"/>
        <w:jc w:val="both"/>
      </w:pPr>
    </w:p>
    <w:p w14:paraId="1A4335A2" w14:textId="77777777" w:rsidR="003F3661" w:rsidRPr="00811942" w:rsidRDefault="003F3661" w:rsidP="00A41C29">
      <w:pPr>
        <w:pStyle w:val="Akapitzlist"/>
        <w:ind w:left="0"/>
        <w:jc w:val="both"/>
      </w:pPr>
    </w:p>
    <w:p w14:paraId="31F98DA3" w14:textId="68BBF0A1" w:rsidR="00CC48E3" w:rsidRDefault="003F3661" w:rsidP="00A41C29">
      <w:pPr>
        <w:shd w:val="clear" w:color="auto" w:fill="FFFFFF"/>
        <w:rPr>
          <w:b/>
          <w:bCs/>
          <w:color w:val="000000"/>
        </w:rPr>
      </w:pPr>
      <w:r w:rsidRPr="00811942">
        <w:rPr>
          <w:b/>
          <w:bCs/>
          <w:color w:val="000000"/>
        </w:rPr>
        <w:t>1</w:t>
      </w:r>
      <w:r w:rsidR="00D52E83">
        <w:rPr>
          <w:b/>
          <w:bCs/>
          <w:color w:val="000000"/>
        </w:rPr>
        <w:t>3</w:t>
      </w:r>
      <w:r w:rsidRPr="00811942">
        <w:rPr>
          <w:b/>
          <w:bCs/>
          <w:color w:val="000000"/>
        </w:rPr>
        <w:t xml:space="preserve">. </w:t>
      </w:r>
      <w:r w:rsidR="00CC48E3">
        <w:rPr>
          <w:b/>
          <w:bCs/>
          <w:color w:val="000000"/>
        </w:rPr>
        <w:t>Związanie ofertą</w:t>
      </w:r>
    </w:p>
    <w:p w14:paraId="7F6A65B0" w14:textId="0FC2903E" w:rsidR="00CC48E3" w:rsidRPr="00CC48E3" w:rsidRDefault="00CC48E3" w:rsidP="00A41C29">
      <w:pPr>
        <w:shd w:val="clear" w:color="auto" w:fill="FFFFFF"/>
        <w:rPr>
          <w:color w:val="000000"/>
        </w:rPr>
      </w:pPr>
      <w:r>
        <w:rPr>
          <w:color w:val="000000"/>
        </w:rPr>
        <w:t>Składający ofertę jest nią związany przez okres 30 dni licząc od dnia otwarcia ofert.</w:t>
      </w:r>
    </w:p>
    <w:p w14:paraId="28E81BE7" w14:textId="77777777" w:rsidR="00CC48E3" w:rsidRDefault="00CC48E3" w:rsidP="00A41C29">
      <w:pPr>
        <w:shd w:val="clear" w:color="auto" w:fill="FFFFFF"/>
        <w:rPr>
          <w:b/>
          <w:bCs/>
          <w:color w:val="000000"/>
        </w:rPr>
      </w:pPr>
    </w:p>
    <w:p w14:paraId="73645770" w14:textId="77777777" w:rsidR="003F3661" w:rsidRPr="00811942" w:rsidRDefault="003F3661" w:rsidP="00A41C29">
      <w:pPr>
        <w:pStyle w:val="Akapitzlist"/>
        <w:ind w:left="0"/>
        <w:contextualSpacing w:val="0"/>
        <w:jc w:val="both"/>
        <w:rPr>
          <w:color w:val="FF0000"/>
        </w:rPr>
      </w:pPr>
    </w:p>
    <w:p w14:paraId="6B7B60BE" w14:textId="06EDDBE9" w:rsidR="003F3661" w:rsidRPr="00811942" w:rsidRDefault="00D52E83" w:rsidP="00A41C29">
      <w:pPr>
        <w:pStyle w:val="Akapitzlist"/>
        <w:ind w:left="0"/>
        <w:jc w:val="both"/>
        <w:rPr>
          <w:b/>
        </w:rPr>
      </w:pPr>
      <w:r>
        <w:rPr>
          <w:b/>
        </w:rPr>
        <w:t>14</w:t>
      </w:r>
      <w:r w:rsidR="003F3661" w:rsidRPr="00811942">
        <w:rPr>
          <w:b/>
        </w:rPr>
        <w:t xml:space="preserve">. Wykaz załączników do ogłoszenia o </w:t>
      </w:r>
      <w:r w:rsidR="004B2059">
        <w:rPr>
          <w:b/>
        </w:rPr>
        <w:t>zamówieniu publicznym</w:t>
      </w:r>
    </w:p>
    <w:p w14:paraId="3606CF6E" w14:textId="77777777" w:rsidR="003F3661" w:rsidRPr="00811942" w:rsidRDefault="003F3661" w:rsidP="00A41C29">
      <w:pPr>
        <w:jc w:val="both"/>
        <w:rPr>
          <w:bCs/>
          <w:lang w:bidi="en-US"/>
        </w:rPr>
      </w:pPr>
      <w:r w:rsidRPr="00811942">
        <w:rPr>
          <w:bCs/>
          <w:lang w:bidi="en-US"/>
        </w:rPr>
        <w:t>Integraln</w:t>
      </w:r>
      <w:r w:rsidRPr="00811942">
        <w:rPr>
          <w:rFonts w:eastAsia="TimesNewRoman"/>
          <w:bCs/>
          <w:lang w:bidi="en-US"/>
        </w:rPr>
        <w:t xml:space="preserve">ą </w:t>
      </w:r>
      <w:r w:rsidRPr="00811942">
        <w:rPr>
          <w:bCs/>
          <w:lang w:bidi="en-US"/>
        </w:rPr>
        <w:t>cz</w:t>
      </w:r>
      <w:r w:rsidRPr="00811942">
        <w:rPr>
          <w:rFonts w:eastAsia="TimesNewRoman"/>
          <w:bCs/>
          <w:lang w:bidi="en-US"/>
        </w:rPr>
        <w:t xml:space="preserve">ęść </w:t>
      </w:r>
      <w:r w:rsidRPr="00811942">
        <w:rPr>
          <w:bCs/>
          <w:lang w:bidi="en-US"/>
        </w:rPr>
        <w:t>niniejszego ogłoszenia stanowi</w:t>
      </w:r>
      <w:r w:rsidRPr="00811942">
        <w:rPr>
          <w:rFonts w:eastAsia="TimesNewRoman"/>
          <w:bCs/>
          <w:lang w:bidi="en-US"/>
        </w:rPr>
        <w:t xml:space="preserve">ą </w:t>
      </w:r>
      <w:r w:rsidRPr="00811942">
        <w:rPr>
          <w:bCs/>
          <w:lang w:bidi="en-US"/>
        </w:rPr>
        <w:t>nast</w:t>
      </w:r>
      <w:r w:rsidRPr="00811942">
        <w:rPr>
          <w:rFonts w:eastAsia="TimesNewRoman"/>
          <w:bCs/>
          <w:lang w:bidi="en-US"/>
        </w:rPr>
        <w:t>ę</w:t>
      </w:r>
      <w:r w:rsidRPr="00811942">
        <w:rPr>
          <w:bCs/>
          <w:lang w:bidi="en-US"/>
        </w:rPr>
        <w:t>puj</w:t>
      </w:r>
      <w:r w:rsidRPr="00811942">
        <w:rPr>
          <w:rFonts w:eastAsia="TimesNewRoman"/>
          <w:bCs/>
          <w:lang w:bidi="en-US"/>
        </w:rPr>
        <w:t>ą</w:t>
      </w:r>
      <w:r w:rsidRPr="00811942">
        <w:rPr>
          <w:bCs/>
          <w:lang w:bidi="en-US"/>
        </w:rPr>
        <w:t>ce załączniki:</w:t>
      </w:r>
    </w:p>
    <w:p w14:paraId="764C744A" w14:textId="12725080" w:rsidR="003F3661" w:rsidRDefault="003F3661" w:rsidP="00A41C29">
      <w:pPr>
        <w:numPr>
          <w:ilvl w:val="0"/>
          <w:numId w:val="10"/>
        </w:numPr>
        <w:ind w:left="426" w:right="-2"/>
      </w:pPr>
      <w:r w:rsidRPr="00811942">
        <w:t>formularz oferty</w:t>
      </w:r>
      <w:bookmarkEnd w:id="0"/>
      <w:r w:rsidR="00BC7C29">
        <w:t>.</w:t>
      </w:r>
    </w:p>
    <w:p w14:paraId="65979BAA" w14:textId="77777777" w:rsidR="00BC7C29" w:rsidRDefault="00BC7C29" w:rsidP="00BC7C29">
      <w:pPr>
        <w:tabs>
          <w:tab w:val="left" w:pos="6946"/>
        </w:tabs>
        <w:ind w:left="426" w:right="-2" w:firstLine="5244"/>
      </w:pPr>
    </w:p>
    <w:p w14:paraId="46870934" w14:textId="7F7FD191" w:rsidR="00BC7C29" w:rsidRDefault="00BC7C29" w:rsidP="00BC7C29">
      <w:pPr>
        <w:tabs>
          <w:tab w:val="left" w:pos="6946"/>
        </w:tabs>
        <w:ind w:left="426" w:right="-2" w:firstLine="5244"/>
      </w:pPr>
      <w:r>
        <w:t>Wójt Gminy Ryczywół</w:t>
      </w:r>
    </w:p>
    <w:p w14:paraId="375CD1FB" w14:textId="5A59CC01" w:rsidR="00BC7C29" w:rsidRPr="00811942" w:rsidRDefault="00BC7C29" w:rsidP="00BC7C29">
      <w:pPr>
        <w:ind w:left="5529" w:right="-2" w:firstLine="567"/>
      </w:pPr>
      <w:r>
        <w:t>/-/ Henryk Szrama</w:t>
      </w:r>
    </w:p>
    <w:sectPr w:rsidR="00BC7C29" w:rsidRPr="00811942" w:rsidSect="004F4B1F">
      <w:headerReference w:type="defaul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5B4F" w14:textId="77777777" w:rsidR="00BA1AA4" w:rsidRDefault="00BA1AA4" w:rsidP="00D52E83">
      <w:r>
        <w:separator/>
      </w:r>
    </w:p>
  </w:endnote>
  <w:endnote w:type="continuationSeparator" w:id="0">
    <w:p w14:paraId="690B37CF" w14:textId="77777777" w:rsidR="00BA1AA4" w:rsidRDefault="00BA1AA4" w:rsidP="00D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85AD" w14:textId="77777777" w:rsidR="00BA1AA4" w:rsidRDefault="00BA1AA4" w:rsidP="00D52E83">
      <w:r>
        <w:separator/>
      </w:r>
    </w:p>
  </w:footnote>
  <w:footnote w:type="continuationSeparator" w:id="0">
    <w:p w14:paraId="1B548550" w14:textId="77777777" w:rsidR="00BA1AA4" w:rsidRDefault="00BA1AA4" w:rsidP="00D5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0CED" w14:textId="06824468" w:rsidR="00D52E83" w:rsidRDefault="00D52E83">
    <w:pPr>
      <w:pStyle w:val="Nagwek"/>
    </w:pPr>
    <w:r>
      <w:rPr>
        <w:noProof/>
      </w:rPr>
      <w:drawing>
        <wp:inline distT="0" distB="0" distL="0" distR="0" wp14:anchorId="4E86EE92" wp14:editId="28E1A972">
          <wp:extent cx="5760720" cy="80200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D06"/>
    <w:multiLevelType w:val="hybridMultilevel"/>
    <w:tmpl w:val="BE86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9CE"/>
    <w:multiLevelType w:val="hybridMultilevel"/>
    <w:tmpl w:val="1F7658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11C3"/>
    <w:multiLevelType w:val="hybridMultilevel"/>
    <w:tmpl w:val="B200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0DAF"/>
    <w:multiLevelType w:val="hybridMultilevel"/>
    <w:tmpl w:val="4C40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2A1E"/>
    <w:multiLevelType w:val="multilevel"/>
    <w:tmpl w:val="FEC4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03BC6"/>
    <w:multiLevelType w:val="hybridMultilevel"/>
    <w:tmpl w:val="9B4A0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6FF5"/>
    <w:multiLevelType w:val="hybridMultilevel"/>
    <w:tmpl w:val="D05E283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5D95EAE"/>
    <w:multiLevelType w:val="hybridMultilevel"/>
    <w:tmpl w:val="AB5A4FB0"/>
    <w:lvl w:ilvl="0" w:tplc="741E19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C47"/>
    <w:multiLevelType w:val="hybridMultilevel"/>
    <w:tmpl w:val="5984883C"/>
    <w:lvl w:ilvl="0" w:tplc="85381F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3D23F2"/>
    <w:multiLevelType w:val="hybridMultilevel"/>
    <w:tmpl w:val="49F24440"/>
    <w:lvl w:ilvl="0" w:tplc="80C2387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4"/>
        <w:sz w:val="16"/>
        <w:szCs w:val="16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D256A"/>
    <w:multiLevelType w:val="hybridMultilevel"/>
    <w:tmpl w:val="B8B80EB8"/>
    <w:lvl w:ilvl="0" w:tplc="F14A69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0393E"/>
    <w:multiLevelType w:val="hybridMultilevel"/>
    <w:tmpl w:val="5D7CDCF8"/>
    <w:lvl w:ilvl="0" w:tplc="85381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47DA9"/>
    <w:multiLevelType w:val="hybridMultilevel"/>
    <w:tmpl w:val="074AF79C"/>
    <w:lvl w:ilvl="0" w:tplc="80C23872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104"/>
        <w:sz w:val="16"/>
        <w:szCs w:val="16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7222C"/>
    <w:multiLevelType w:val="hybridMultilevel"/>
    <w:tmpl w:val="33C6AB7C"/>
    <w:lvl w:ilvl="0" w:tplc="3E06CB4E">
      <w:start w:val="1"/>
      <w:numFmt w:val="decimal"/>
      <w:lvlText w:val="%1."/>
      <w:lvlJc w:val="left"/>
      <w:pPr>
        <w:ind w:left="439" w:hanging="264"/>
        <w:jc w:val="left"/>
      </w:pPr>
      <w:rPr>
        <w:rFonts w:ascii="Arial" w:eastAsia="Arial" w:hAnsi="Arial" w:cs="Arial" w:hint="default"/>
        <w:b/>
        <w:bCs/>
        <w:w w:val="104"/>
        <w:sz w:val="16"/>
        <w:szCs w:val="16"/>
        <w:lang w:val="pl-PL" w:eastAsia="en-US" w:bidi="ar-SA"/>
      </w:rPr>
    </w:lvl>
    <w:lvl w:ilvl="1" w:tplc="24589B2E">
      <w:start w:val="1"/>
      <w:numFmt w:val="decimal"/>
      <w:lvlText w:val="%2)"/>
      <w:lvlJc w:val="left"/>
      <w:pPr>
        <w:ind w:left="548" w:hanging="335"/>
        <w:jc w:val="left"/>
      </w:pPr>
      <w:rPr>
        <w:rFonts w:ascii="Arial" w:eastAsia="Arial" w:hAnsi="Arial" w:cs="Arial" w:hint="default"/>
        <w:w w:val="104"/>
        <w:sz w:val="16"/>
        <w:szCs w:val="16"/>
        <w:lang w:val="pl-PL" w:eastAsia="en-US" w:bidi="ar-SA"/>
      </w:rPr>
    </w:lvl>
    <w:lvl w:ilvl="2" w:tplc="A7306614">
      <w:numFmt w:val="bullet"/>
      <w:lvlText w:val="-"/>
      <w:lvlJc w:val="left"/>
      <w:pPr>
        <w:ind w:left="651" w:hanging="103"/>
      </w:pPr>
      <w:rPr>
        <w:rFonts w:ascii="Arial" w:eastAsia="Arial" w:hAnsi="Arial" w:cs="Arial" w:hint="default"/>
        <w:w w:val="104"/>
        <w:sz w:val="16"/>
        <w:szCs w:val="16"/>
        <w:lang w:val="pl-PL" w:eastAsia="en-US" w:bidi="ar-SA"/>
      </w:rPr>
    </w:lvl>
    <w:lvl w:ilvl="3" w:tplc="950443A6">
      <w:numFmt w:val="bullet"/>
      <w:lvlText w:val="•"/>
      <w:lvlJc w:val="left"/>
      <w:pPr>
        <w:ind w:left="700" w:hanging="103"/>
      </w:pPr>
      <w:rPr>
        <w:rFonts w:hint="default"/>
        <w:lang w:val="pl-PL" w:eastAsia="en-US" w:bidi="ar-SA"/>
      </w:rPr>
    </w:lvl>
    <w:lvl w:ilvl="4" w:tplc="AFE0D1DE">
      <w:numFmt w:val="bullet"/>
      <w:lvlText w:val="•"/>
      <w:lvlJc w:val="left"/>
      <w:pPr>
        <w:ind w:left="1837" w:hanging="103"/>
      </w:pPr>
      <w:rPr>
        <w:rFonts w:hint="default"/>
        <w:lang w:val="pl-PL" w:eastAsia="en-US" w:bidi="ar-SA"/>
      </w:rPr>
    </w:lvl>
    <w:lvl w:ilvl="5" w:tplc="D3D40D38">
      <w:numFmt w:val="bullet"/>
      <w:lvlText w:val="•"/>
      <w:lvlJc w:val="left"/>
      <w:pPr>
        <w:ind w:left="2974" w:hanging="103"/>
      </w:pPr>
      <w:rPr>
        <w:rFonts w:hint="default"/>
        <w:lang w:val="pl-PL" w:eastAsia="en-US" w:bidi="ar-SA"/>
      </w:rPr>
    </w:lvl>
    <w:lvl w:ilvl="6" w:tplc="8F9CE6F2">
      <w:numFmt w:val="bullet"/>
      <w:lvlText w:val="•"/>
      <w:lvlJc w:val="left"/>
      <w:pPr>
        <w:ind w:left="4111" w:hanging="103"/>
      </w:pPr>
      <w:rPr>
        <w:rFonts w:hint="default"/>
        <w:lang w:val="pl-PL" w:eastAsia="en-US" w:bidi="ar-SA"/>
      </w:rPr>
    </w:lvl>
    <w:lvl w:ilvl="7" w:tplc="71A4416E">
      <w:numFmt w:val="bullet"/>
      <w:lvlText w:val="•"/>
      <w:lvlJc w:val="left"/>
      <w:pPr>
        <w:ind w:left="5248" w:hanging="103"/>
      </w:pPr>
      <w:rPr>
        <w:rFonts w:hint="default"/>
        <w:lang w:val="pl-PL" w:eastAsia="en-US" w:bidi="ar-SA"/>
      </w:rPr>
    </w:lvl>
    <w:lvl w:ilvl="8" w:tplc="AF561B5C">
      <w:numFmt w:val="bullet"/>
      <w:lvlText w:val="•"/>
      <w:lvlJc w:val="left"/>
      <w:pPr>
        <w:ind w:left="6385" w:hanging="103"/>
      </w:pPr>
      <w:rPr>
        <w:rFonts w:hint="default"/>
        <w:lang w:val="pl-PL" w:eastAsia="en-US" w:bidi="ar-SA"/>
      </w:rPr>
    </w:lvl>
  </w:abstractNum>
  <w:abstractNum w:abstractNumId="15" w15:restartNumberingAfterBreak="0">
    <w:nsid w:val="57D83380"/>
    <w:multiLevelType w:val="hybridMultilevel"/>
    <w:tmpl w:val="CE42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31AB6"/>
    <w:multiLevelType w:val="hybridMultilevel"/>
    <w:tmpl w:val="C9EA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4"/>
        <w:sz w:val="16"/>
        <w:szCs w:val="16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75569C"/>
    <w:multiLevelType w:val="hybridMultilevel"/>
    <w:tmpl w:val="F008F830"/>
    <w:lvl w:ilvl="0" w:tplc="A35471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84F13"/>
    <w:multiLevelType w:val="hybridMultilevel"/>
    <w:tmpl w:val="BC3017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03C29"/>
    <w:multiLevelType w:val="hybridMultilevel"/>
    <w:tmpl w:val="51C8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56A4B"/>
    <w:multiLevelType w:val="hybridMultilevel"/>
    <w:tmpl w:val="FA46F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6286"/>
    <w:multiLevelType w:val="hybridMultilevel"/>
    <w:tmpl w:val="0FBC0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0D21"/>
    <w:multiLevelType w:val="multilevel"/>
    <w:tmpl w:val="A52A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935D6"/>
    <w:multiLevelType w:val="hybridMultilevel"/>
    <w:tmpl w:val="92CE94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B5EDED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6494743">
    <w:abstractNumId w:val="11"/>
  </w:num>
  <w:num w:numId="2" w16cid:durableId="552279576">
    <w:abstractNumId w:val="24"/>
  </w:num>
  <w:num w:numId="3" w16cid:durableId="103885059">
    <w:abstractNumId w:val="15"/>
  </w:num>
  <w:num w:numId="4" w16cid:durableId="2065907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5132414">
    <w:abstractNumId w:val="7"/>
  </w:num>
  <w:num w:numId="6" w16cid:durableId="1484619617">
    <w:abstractNumId w:val="17"/>
  </w:num>
  <w:num w:numId="7" w16cid:durableId="1802728388">
    <w:abstractNumId w:val="2"/>
  </w:num>
  <w:num w:numId="8" w16cid:durableId="1613704269">
    <w:abstractNumId w:val="6"/>
  </w:num>
  <w:num w:numId="9" w16cid:durableId="707804603">
    <w:abstractNumId w:val="0"/>
  </w:num>
  <w:num w:numId="10" w16cid:durableId="1640265801">
    <w:abstractNumId w:val="21"/>
  </w:num>
  <w:num w:numId="11" w16cid:durableId="306276901">
    <w:abstractNumId w:val="18"/>
  </w:num>
  <w:num w:numId="12" w16cid:durableId="847477271">
    <w:abstractNumId w:val="10"/>
  </w:num>
  <w:num w:numId="13" w16cid:durableId="421144206">
    <w:abstractNumId w:val="4"/>
  </w:num>
  <w:num w:numId="14" w16cid:durableId="1074280783">
    <w:abstractNumId w:val="14"/>
  </w:num>
  <w:num w:numId="15" w16cid:durableId="1183982985">
    <w:abstractNumId w:val="3"/>
  </w:num>
  <w:num w:numId="16" w16cid:durableId="837036753">
    <w:abstractNumId w:val="1"/>
  </w:num>
  <w:num w:numId="17" w16cid:durableId="2115664884">
    <w:abstractNumId w:val="19"/>
  </w:num>
  <w:num w:numId="18" w16cid:durableId="255792276">
    <w:abstractNumId w:val="8"/>
  </w:num>
  <w:num w:numId="19" w16cid:durableId="692415914">
    <w:abstractNumId w:val="12"/>
  </w:num>
  <w:num w:numId="20" w16cid:durableId="1294020728">
    <w:abstractNumId w:val="16"/>
  </w:num>
  <w:num w:numId="21" w16cid:durableId="758522415">
    <w:abstractNumId w:val="9"/>
  </w:num>
  <w:num w:numId="22" w16cid:durableId="950816562">
    <w:abstractNumId w:val="22"/>
  </w:num>
  <w:num w:numId="23" w16cid:durableId="1205873243">
    <w:abstractNumId w:val="20"/>
  </w:num>
  <w:num w:numId="24" w16cid:durableId="480389666">
    <w:abstractNumId w:val="5"/>
  </w:num>
  <w:num w:numId="25" w16cid:durableId="1336880935">
    <w:abstractNumId w:val="13"/>
  </w:num>
  <w:num w:numId="26" w16cid:durableId="4591532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2"/>
    <w:rsid w:val="0001373C"/>
    <w:rsid w:val="000421B4"/>
    <w:rsid w:val="00047933"/>
    <w:rsid w:val="00051699"/>
    <w:rsid w:val="00057024"/>
    <w:rsid w:val="000734C6"/>
    <w:rsid w:val="00081AA5"/>
    <w:rsid w:val="0009667C"/>
    <w:rsid w:val="000A5D31"/>
    <w:rsid w:val="000C74DE"/>
    <w:rsid w:val="000D32E6"/>
    <w:rsid w:val="000E19C4"/>
    <w:rsid w:val="000E29D6"/>
    <w:rsid w:val="00101EC3"/>
    <w:rsid w:val="00104DCE"/>
    <w:rsid w:val="00123C6F"/>
    <w:rsid w:val="001304EB"/>
    <w:rsid w:val="001469FE"/>
    <w:rsid w:val="00164AA9"/>
    <w:rsid w:val="001A3CDD"/>
    <w:rsid w:val="001D38BC"/>
    <w:rsid w:val="001D3B49"/>
    <w:rsid w:val="001E516E"/>
    <w:rsid w:val="001F1612"/>
    <w:rsid w:val="00220C9E"/>
    <w:rsid w:val="00243B43"/>
    <w:rsid w:val="00262331"/>
    <w:rsid w:val="00271F65"/>
    <w:rsid w:val="00273089"/>
    <w:rsid w:val="002D6A76"/>
    <w:rsid w:val="002E07B1"/>
    <w:rsid w:val="002F36DA"/>
    <w:rsid w:val="003043B7"/>
    <w:rsid w:val="00304CA2"/>
    <w:rsid w:val="003076D6"/>
    <w:rsid w:val="00330D83"/>
    <w:rsid w:val="00360EE2"/>
    <w:rsid w:val="003A02F3"/>
    <w:rsid w:val="003B397D"/>
    <w:rsid w:val="003D759F"/>
    <w:rsid w:val="003F3661"/>
    <w:rsid w:val="004030AE"/>
    <w:rsid w:val="004128A1"/>
    <w:rsid w:val="00443C8F"/>
    <w:rsid w:val="004567EC"/>
    <w:rsid w:val="004922B8"/>
    <w:rsid w:val="004B2059"/>
    <w:rsid w:val="004C4FA2"/>
    <w:rsid w:val="004F4B1F"/>
    <w:rsid w:val="00516AEE"/>
    <w:rsid w:val="00533C66"/>
    <w:rsid w:val="00551A86"/>
    <w:rsid w:val="0056374E"/>
    <w:rsid w:val="00586E3F"/>
    <w:rsid w:val="0059081B"/>
    <w:rsid w:val="00596A14"/>
    <w:rsid w:val="005A230A"/>
    <w:rsid w:val="005B5F10"/>
    <w:rsid w:val="005C0FA5"/>
    <w:rsid w:val="005D5975"/>
    <w:rsid w:val="00612CDB"/>
    <w:rsid w:val="00642152"/>
    <w:rsid w:val="00646E38"/>
    <w:rsid w:val="00653B5F"/>
    <w:rsid w:val="00654477"/>
    <w:rsid w:val="00671D6E"/>
    <w:rsid w:val="00672ACB"/>
    <w:rsid w:val="00686E4E"/>
    <w:rsid w:val="00686EAE"/>
    <w:rsid w:val="00687AD6"/>
    <w:rsid w:val="00693CA8"/>
    <w:rsid w:val="006E2D5C"/>
    <w:rsid w:val="006E7D6C"/>
    <w:rsid w:val="006F51E4"/>
    <w:rsid w:val="0072682B"/>
    <w:rsid w:val="00727B8D"/>
    <w:rsid w:val="00746D05"/>
    <w:rsid w:val="00756A2A"/>
    <w:rsid w:val="00770237"/>
    <w:rsid w:val="007733B1"/>
    <w:rsid w:val="00781253"/>
    <w:rsid w:val="007C7EC6"/>
    <w:rsid w:val="007E7BC9"/>
    <w:rsid w:val="00841442"/>
    <w:rsid w:val="008462D7"/>
    <w:rsid w:val="00865694"/>
    <w:rsid w:val="00893359"/>
    <w:rsid w:val="008A1D2A"/>
    <w:rsid w:val="008A2721"/>
    <w:rsid w:val="008B1946"/>
    <w:rsid w:val="008D5BBC"/>
    <w:rsid w:val="008F18D9"/>
    <w:rsid w:val="0090735A"/>
    <w:rsid w:val="009073D4"/>
    <w:rsid w:val="00915841"/>
    <w:rsid w:val="009201D4"/>
    <w:rsid w:val="00920410"/>
    <w:rsid w:val="00955B00"/>
    <w:rsid w:val="00962B09"/>
    <w:rsid w:val="009663B9"/>
    <w:rsid w:val="00974893"/>
    <w:rsid w:val="00981BC2"/>
    <w:rsid w:val="009C3020"/>
    <w:rsid w:val="009C5C14"/>
    <w:rsid w:val="009D0A62"/>
    <w:rsid w:val="009E08AE"/>
    <w:rsid w:val="009F70DF"/>
    <w:rsid w:val="00A049A4"/>
    <w:rsid w:val="00A07B42"/>
    <w:rsid w:val="00A12C99"/>
    <w:rsid w:val="00A41C29"/>
    <w:rsid w:val="00A8060D"/>
    <w:rsid w:val="00AC0B88"/>
    <w:rsid w:val="00B03975"/>
    <w:rsid w:val="00B21F17"/>
    <w:rsid w:val="00B41A33"/>
    <w:rsid w:val="00B472A9"/>
    <w:rsid w:val="00B52428"/>
    <w:rsid w:val="00B9004D"/>
    <w:rsid w:val="00BA1AA4"/>
    <w:rsid w:val="00BB5CC7"/>
    <w:rsid w:val="00BC7C29"/>
    <w:rsid w:val="00BD026B"/>
    <w:rsid w:val="00C376E4"/>
    <w:rsid w:val="00C75138"/>
    <w:rsid w:val="00C813C9"/>
    <w:rsid w:val="00C84B2D"/>
    <w:rsid w:val="00CA0E18"/>
    <w:rsid w:val="00CA2DA9"/>
    <w:rsid w:val="00CC48E3"/>
    <w:rsid w:val="00CD1346"/>
    <w:rsid w:val="00D103EC"/>
    <w:rsid w:val="00D37F58"/>
    <w:rsid w:val="00D50F96"/>
    <w:rsid w:val="00D52E83"/>
    <w:rsid w:val="00D662BB"/>
    <w:rsid w:val="00D92425"/>
    <w:rsid w:val="00DB332D"/>
    <w:rsid w:val="00DB53C9"/>
    <w:rsid w:val="00DF4A13"/>
    <w:rsid w:val="00E1403A"/>
    <w:rsid w:val="00E37391"/>
    <w:rsid w:val="00E5033B"/>
    <w:rsid w:val="00E80575"/>
    <w:rsid w:val="00E86DB2"/>
    <w:rsid w:val="00E878B9"/>
    <w:rsid w:val="00EB7F82"/>
    <w:rsid w:val="00EC5CFC"/>
    <w:rsid w:val="00F32CD5"/>
    <w:rsid w:val="00F53FFB"/>
    <w:rsid w:val="00F606B3"/>
    <w:rsid w:val="00F83C3C"/>
    <w:rsid w:val="00FA71C5"/>
    <w:rsid w:val="00FB1D3D"/>
    <w:rsid w:val="00FB3A4B"/>
    <w:rsid w:val="00FB3E89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970A"/>
  <w15:chartTrackingRefBased/>
  <w15:docId w15:val="{FD1BF680-1611-47D1-8D86-9561F63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F1612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8B1946"/>
    <w:pPr>
      <w:ind w:left="720"/>
      <w:contextualSpacing/>
    </w:pPr>
  </w:style>
  <w:style w:type="paragraph" w:customStyle="1" w:styleId="Standard">
    <w:name w:val="Standard"/>
    <w:rsid w:val="008B19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1946"/>
  </w:style>
  <w:style w:type="character" w:styleId="Pogrubienie">
    <w:name w:val="Strong"/>
    <w:basedOn w:val="Domylnaczcionkaakapitu"/>
    <w:uiPriority w:val="22"/>
    <w:qFormat/>
    <w:rsid w:val="003D759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073D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40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20C9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20C9E"/>
    <w:rPr>
      <w:rFonts w:ascii="Times New Roman" w:eastAsia="Times New Roman" w:hAnsi="Times New Roman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8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62331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F606B3"/>
    <w:rPr>
      <w:rFonts w:ascii="Arial" w:eastAsia="MS Outlook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E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2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E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ryczywol.pl" TargetMode="External"/><Relationship Id="rId13" Type="http://schemas.openxmlformats.org/officeDocument/2006/relationships/hyperlink" Target="https://platformazakupowa.pl/pn/ryczywo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672838990" TargetMode="External"/><Relationship Id="rId12" Type="http://schemas.openxmlformats.org/officeDocument/2006/relationships/hyperlink" Target="http://www.energystar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eat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</dc:creator>
  <cp:keywords/>
  <dc:description/>
  <cp:lastModifiedBy>Natalia Janus</cp:lastModifiedBy>
  <cp:revision>3</cp:revision>
  <cp:lastPrinted>2022-03-22T12:59:00Z</cp:lastPrinted>
  <dcterms:created xsi:type="dcterms:W3CDTF">2022-06-15T08:49:00Z</dcterms:created>
  <dcterms:modified xsi:type="dcterms:W3CDTF">2022-06-15T08:51:00Z</dcterms:modified>
  <cp:category/>
</cp:coreProperties>
</file>