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4165" w14:textId="69ADC720" w:rsidR="00853303" w:rsidRPr="00853303" w:rsidRDefault="00853303" w:rsidP="000F654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Sztum, dnia</w:t>
      </w:r>
      <w:r w:rsidR="00EE7853">
        <w:rPr>
          <w:rFonts w:ascii="Arial" w:hAnsi="Arial" w:cs="Arial"/>
          <w:sz w:val="20"/>
        </w:rPr>
        <w:t xml:space="preserve"> </w:t>
      </w:r>
      <w:r w:rsidR="00357D6E">
        <w:rPr>
          <w:rFonts w:ascii="Arial" w:hAnsi="Arial" w:cs="Arial"/>
          <w:sz w:val="20"/>
        </w:rPr>
        <w:t>1</w:t>
      </w:r>
      <w:r w:rsidR="00850C9A">
        <w:rPr>
          <w:rFonts w:ascii="Arial" w:hAnsi="Arial" w:cs="Arial"/>
          <w:sz w:val="20"/>
        </w:rPr>
        <w:t>3</w:t>
      </w:r>
      <w:r w:rsidRPr="00853303">
        <w:rPr>
          <w:rFonts w:ascii="Arial" w:hAnsi="Arial" w:cs="Arial"/>
          <w:sz w:val="20"/>
        </w:rPr>
        <w:t>.07.2021 r.</w:t>
      </w:r>
    </w:p>
    <w:p w14:paraId="1203F7EE" w14:textId="4A63F8DB" w:rsidR="00FC69C9" w:rsidRPr="00A62E7D" w:rsidRDefault="00FC69C9" w:rsidP="00FC69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A62E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 w:rsidR="00A341C3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7</w:t>
      </w:r>
      <w:r w:rsidRPr="00A62E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.2021.RR</w:t>
      </w:r>
    </w:p>
    <w:p w14:paraId="4CCBD05B" w14:textId="77777777" w:rsidR="00853303" w:rsidRPr="00853303" w:rsidRDefault="00853303" w:rsidP="000F654A">
      <w:pPr>
        <w:spacing w:after="0" w:line="240" w:lineRule="auto"/>
        <w:rPr>
          <w:rFonts w:ascii="Arial" w:hAnsi="Arial" w:cs="Arial"/>
          <w:sz w:val="20"/>
        </w:rPr>
      </w:pPr>
    </w:p>
    <w:p w14:paraId="420507A7" w14:textId="77777777" w:rsidR="00853303" w:rsidRPr="00853303" w:rsidRDefault="00853303" w:rsidP="000F654A">
      <w:pPr>
        <w:spacing w:after="0" w:line="240" w:lineRule="auto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  <w:t>WYKONAWCY POSTĘPOWANIA</w:t>
      </w:r>
    </w:p>
    <w:p w14:paraId="56036E47" w14:textId="77777777" w:rsidR="00853303" w:rsidRPr="00853303" w:rsidRDefault="00853303" w:rsidP="000F654A">
      <w:pPr>
        <w:spacing w:after="0" w:line="240" w:lineRule="auto"/>
        <w:rPr>
          <w:rFonts w:ascii="Arial" w:hAnsi="Arial" w:cs="Arial"/>
          <w:b/>
          <w:sz w:val="20"/>
        </w:rPr>
      </w:pPr>
    </w:p>
    <w:p w14:paraId="5CAA871D" w14:textId="77777777" w:rsidR="00853303" w:rsidRPr="00853303" w:rsidRDefault="00853303" w:rsidP="000F654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>WYJAŚNIENIA</w:t>
      </w:r>
    </w:p>
    <w:p w14:paraId="150E3DE7" w14:textId="77777777" w:rsidR="00853303" w:rsidRPr="00853303" w:rsidRDefault="00853303" w:rsidP="000F654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E697CA4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Dot. przetargu:</w:t>
      </w:r>
    </w:p>
    <w:p w14:paraId="0FDF827D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>„Przebudowa drogi powiatowej nr 2936G na odcinku DW 515 – Żuławka Sztumska w wymiarze 10,996 km od km 1+800 do km 12+796,16”</w:t>
      </w:r>
    </w:p>
    <w:p w14:paraId="0C9D9FE6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60BEDA9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Na podstawie art. 284 ust. 2 ustawy z dnia 11 września 2020 r., Prawo zamówień publicznych (tekst jednolity Dz. U. z 2019 r., poz. 2019 ze zm.), Zamawiający udziela następujących wyjaśnień:</w:t>
      </w:r>
    </w:p>
    <w:p w14:paraId="62A91B39" w14:textId="77777777" w:rsidR="00853303" w:rsidRP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8BA5EB" w14:textId="77777777" w:rsidR="000F654A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>Pytanie 1</w:t>
      </w:r>
    </w:p>
    <w:p w14:paraId="27240642" w14:textId="3E40E5C2" w:rsidR="00853303" w:rsidRDefault="00853303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850C9A">
        <w:rPr>
          <w:rFonts w:ascii="Arial" w:hAnsi="Arial" w:cs="Arial"/>
          <w:sz w:val="20"/>
        </w:rPr>
        <w:t>Dotyczy D.04.07.01, D.05.03.05 Przedstawione SST wymagania dla mieszanek na warstwę podbudowy i wiążącej oparte są o normę PN-S-96025:2000. Norma ta ma status normy wycofanej. Wnosimy o wyrażenie zgody na zastosowanie zapisów z zakresu wymagań jakościowych zawartych w dokumentach technicznych WT-1 i WT-2 2014. Wspomniane dokumenty zostały wdrożone zarządzeniami nr 45 i 53 Generalnego Dyrektora Dróg Krajowych i Autostrad. Proponowana zmiana pozwoli na wystawienie oznakowania CE na wyprodukowaną mieszankę co jest wymogiem prawa budowlanego”</w:t>
      </w:r>
    </w:p>
    <w:p w14:paraId="3657EDB4" w14:textId="3CA9851F" w:rsidR="00853303" w:rsidRPr="001E7092" w:rsidRDefault="00853303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>Odpowiedź na pytanie 1:</w:t>
      </w:r>
    </w:p>
    <w:p w14:paraId="4E64D4E5" w14:textId="0BB9F59A" w:rsidR="00853303" w:rsidRDefault="00850C9A" w:rsidP="000F654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wyraża zgodę.</w:t>
      </w:r>
    </w:p>
    <w:p w14:paraId="780FC246" w14:textId="0F9CF384" w:rsidR="00850C9A" w:rsidRDefault="00850C9A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5A2D515" w14:textId="2A15922B" w:rsidR="00850C9A" w:rsidRDefault="00850C9A" w:rsidP="00850C9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 xml:space="preserve">Pytanie </w:t>
      </w:r>
      <w:r>
        <w:rPr>
          <w:rFonts w:ascii="Arial" w:hAnsi="Arial" w:cs="Arial"/>
          <w:b/>
          <w:sz w:val="20"/>
          <w:highlight w:val="green"/>
          <w:u w:val="single"/>
        </w:rPr>
        <w:t>2</w:t>
      </w:r>
    </w:p>
    <w:p w14:paraId="42D5669D" w14:textId="5D51E374" w:rsidR="00850C9A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„Dotyczy D.04.07.01, D.05.03.05 W SST w pkt 6.3.1, 6.3.3, 6.3.4, 6.3.5 dla projektowanych mieszanek na warstwę podbudowy i wiążącą wskazano częstotliwość wykonywania badań dla materiałów wsadowych tj. asfaltów, wypełniacza, kruszyw do mm-a niezgodne z obowiązującą normą PN-EN 13108-21 (Zakładowa Kontrola Produkcji). Wnosimy o potwierdzenie, że na przedmiotowym zadaniu badanie materiałów wsadowych należy prowadzić zgodnie z zapisami normy 13108-21.”</w:t>
      </w:r>
    </w:p>
    <w:p w14:paraId="7BABCE20" w14:textId="33D4235A" w:rsidR="00850C9A" w:rsidRPr="001E7092" w:rsidRDefault="00850C9A" w:rsidP="00850C9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2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090F8E93" w14:textId="6729A33C" w:rsidR="00850C9A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potwierdza.</w:t>
      </w:r>
    </w:p>
    <w:p w14:paraId="4368342D" w14:textId="0FA67419" w:rsidR="00850C9A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56D25F" w14:textId="3C6CAF5A" w:rsidR="00850C9A" w:rsidRDefault="00850C9A" w:rsidP="00850C9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9A3222">
        <w:rPr>
          <w:rFonts w:ascii="Arial" w:hAnsi="Arial" w:cs="Arial"/>
          <w:b/>
          <w:sz w:val="20"/>
          <w:highlight w:val="green"/>
          <w:u w:val="single"/>
        </w:rPr>
        <w:t>Pytanie 3</w:t>
      </w:r>
    </w:p>
    <w:p w14:paraId="6CD152B6" w14:textId="7112D98A" w:rsidR="00850C9A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„Wnosimy o potwierdzenie, że do projektowanych mieszanek na warstwę podbudowy z AC 22P i warstwę wiążącą z AC 16 W dla kategorii ruchu KR 3 należy zastosować asfalt drogowy 35/50 zgodny z normą PN-EN 12591.”</w:t>
      </w:r>
    </w:p>
    <w:p w14:paraId="19725D71" w14:textId="0FD2047E" w:rsidR="00850C9A" w:rsidRPr="001E7092" w:rsidRDefault="00850C9A" w:rsidP="00850C9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3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53776874" w14:textId="2A19FD4A" w:rsidR="00850C9A" w:rsidRPr="00386585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386585">
        <w:rPr>
          <w:rFonts w:ascii="Arial" w:hAnsi="Arial" w:cs="Arial"/>
          <w:sz w:val="20"/>
        </w:rPr>
        <w:t xml:space="preserve">Zamawiający </w:t>
      </w:r>
      <w:r w:rsidR="00F34CE2" w:rsidRPr="00386585">
        <w:rPr>
          <w:rFonts w:ascii="Arial" w:hAnsi="Arial" w:cs="Arial"/>
          <w:sz w:val="20"/>
        </w:rPr>
        <w:t>potwierdza.</w:t>
      </w:r>
    </w:p>
    <w:p w14:paraId="1A3071CE" w14:textId="4F8AA767" w:rsidR="00850C9A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3AE5EE2" w14:textId="699FE7CF" w:rsidR="00850C9A" w:rsidRDefault="00850C9A" w:rsidP="00850C9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B96490">
        <w:rPr>
          <w:rFonts w:ascii="Arial" w:hAnsi="Arial" w:cs="Arial"/>
          <w:b/>
          <w:sz w:val="20"/>
          <w:highlight w:val="green"/>
          <w:u w:val="single"/>
        </w:rPr>
        <w:t>Pytanie 4</w:t>
      </w:r>
    </w:p>
    <w:p w14:paraId="237AAE10" w14:textId="61B9DE74" w:rsidR="00850C9A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„Dotyczy D. 05.03.27 SST dla mieszanki SMA 16 JENA opracowano w oparciu o nieaktualne dokumenty techniczne WT1, WT2-2010. Przywołane wymagania zostały zaktualizowane i zastąpione dokumentami WT-1, WT-2 2014. Wnosimy o wyrażenie zgody na możliwość zmiany wymagań w stosunku d</w:t>
      </w:r>
      <w:r w:rsidR="00973210">
        <w:rPr>
          <w:rFonts w:ascii="Arial" w:hAnsi="Arial" w:cs="Arial"/>
          <w:sz w:val="20"/>
        </w:rPr>
        <w:t>o MMA i przedstawienie ich w oparciu o aktualne wymagania WT-1, WT-2 2014. Wspomniane dokumenty zostały wdrożone zarządzeniami nr 46 i 54 Generalnego Dyrektora Dróg Krajowych i Autostrad z 2014 roku.”</w:t>
      </w:r>
    </w:p>
    <w:p w14:paraId="0CD544CE" w14:textId="6CBD537F" w:rsidR="00973210" w:rsidRPr="001E7092" w:rsidRDefault="00850C9A" w:rsidP="00850C9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 w:rsidR="00973210">
        <w:rPr>
          <w:rFonts w:ascii="Arial" w:hAnsi="Arial" w:cs="Arial"/>
          <w:b/>
          <w:sz w:val="20"/>
          <w:u w:val="single"/>
        </w:rPr>
        <w:t>4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031EA7BE" w14:textId="333B66B2" w:rsidR="00850C9A" w:rsidRPr="001E7092" w:rsidRDefault="00B96490" w:rsidP="00850C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B96490">
        <w:rPr>
          <w:rFonts w:ascii="Arial" w:hAnsi="Arial" w:cs="Arial"/>
          <w:sz w:val="20"/>
        </w:rPr>
        <w:t>Zamawiający w udzielanych wyjaśnieniach z dnia 06.07.2021 r. w pkt 1 poinformował, że nie należy stosować mieszanki SMA 16 JENA lecz mieszankę SMA 11.</w:t>
      </w:r>
    </w:p>
    <w:p w14:paraId="154503C5" w14:textId="77777777" w:rsidR="00850C9A" w:rsidRPr="001E7092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63925F9" w14:textId="51BD0A52" w:rsidR="00973210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219D5">
        <w:rPr>
          <w:rFonts w:ascii="Arial" w:hAnsi="Arial" w:cs="Arial"/>
          <w:b/>
          <w:sz w:val="20"/>
          <w:highlight w:val="green"/>
          <w:u w:val="single"/>
        </w:rPr>
        <w:t>Pytanie 5</w:t>
      </w:r>
    </w:p>
    <w:p w14:paraId="49729E98" w14:textId="32A2C530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dokumentacji przetargowej występuje niespójność w zakresie rodzaju mieszanki jaką należy zaprojektować na warstwę ścieralną czy SMA 11 czy SMA 16 JENA. W opisie, na przekrojach projektu budowlano-wykonawczego oraz przedmiarze wskazano do zastosowania mieszankę SMA 11 dla kategorii ruchu KR 3 natomiast w SST przedstawiono wymagania dla mieszanki SMA 16 JENA. Wnosimy o potwierdzenie, że należy zastosować mieszankę SMA 11 dla kategorii ruchu KR 3 lub doprecyzować rodzaj mieszanki SMA na warstwę ścieralną.”</w:t>
      </w:r>
    </w:p>
    <w:p w14:paraId="6B45CABC" w14:textId="0CAA7379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5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6F7F6D01" w14:textId="18FE0C0C" w:rsidR="00973210" w:rsidRPr="008219D5" w:rsidRDefault="00B9649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8219D5">
        <w:rPr>
          <w:rFonts w:ascii="Arial" w:hAnsi="Arial" w:cs="Arial"/>
          <w:sz w:val="20"/>
        </w:rPr>
        <w:t>Zamawiający potwierdza. Powyższe</w:t>
      </w:r>
      <w:r w:rsidR="008219D5" w:rsidRPr="008219D5">
        <w:rPr>
          <w:rFonts w:ascii="Arial" w:hAnsi="Arial" w:cs="Arial"/>
          <w:sz w:val="20"/>
        </w:rPr>
        <w:t xml:space="preserve"> przekazywano w wyjaśnieniach z dnia 06.07.2021 r. – pkt. 1</w:t>
      </w:r>
    </w:p>
    <w:p w14:paraId="1F8A55E9" w14:textId="61AC13AD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17BC5BE" w14:textId="245DC119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BC5A2F7" w14:textId="77777777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74C567" w14:textId="13364F50" w:rsidR="00973210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219D5">
        <w:rPr>
          <w:rFonts w:ascii="Arial" w:hAnsi="Arial" w:cs="Arial"/>
          <w:b/>
          <w:sz w:val="20"/>
          <w:highlight w:val="green"/>
          <w:u w:val="single"/>
        </w:rPr>
        <w:lastRenderedPageBreak/>
        <w:t>Pytanie 6</w:t>
      </w:r>
    </w:p>
    <w:p w14:paraId="24C5AAE8" w14:textId="64812CF2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dokumentacji przetargowej stwierdzono brak SST dla projektowanej mieszanki na warstwę ścieralną z SMA 11 dla kategorii ruchu KR 3. Wnosimy o potwierdzenie, że mieszankę SMA 11 dla kategorii ruchu KR 3 należy zaprojektować wg. obowiązujących wymagań technicznych WT-1, WT-2 2014. Wspomniane dokumenty zostały wdrożone zarządzeniami nr 46 i 54 Generalnego Dyrektora Dróg Krajowych i Autostrad z 2014 roku.”</w:t>
      </w:r>
    </w:p>
    <w:p w14:paraId="2AB839CC" w14:textId="47F90A33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6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788E0EBD" w14:textId="237FC9A6" w:rsidR="00973210" w:rsidRPr="008219D5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8219D5">
        <w:rPr>
          <w:rFonts w:ascii="Arial" w:hAnsi="Arial" w:cs="Arial"/>
          <w:sz w:val="20"/>
        </w:rPr>
        <w:t xml:space="preserve">Zamawiający </w:t>
      </w:r>
      <w:r w:rsidR="008219D5" w:rsidRPr="008219D5">
        <w:rPr>
          <w:rFonts w:ascii="Arial" w:hAnsi="Arial" w:cs="Arial"/>
          <w:sz w:val="20"/>
        </w:rPr>
        <w:t>potwierdza. Wymagania dla mieszanki SMA 11 wskazano w udzielanych wyjaśnieniach z dnia 06.07.2021 r.</w:t>
      </w:r>
    </w:p>
    <w:p w14:paraId="64786D47" w14:textId="7B0536B3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91FF56D" w14:textId="486EB25D" w:rsidR="00973210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7D28E5">
        <w:rPr>
          <w:rFonts w:ascii="Arial" w:hAnsi="Arial" w:cs="Arial"/>
          <w:b/>
          <w:sz w:val="20"/>
          <w:highlight w:val="green"/>
          <w:u w:val="single"/>
        </w:rPr>
        <w:t>Pytanie 7</w:t>
      </w:r>
    </w:p>
    <w:p w14:paraId="7A171349" w14:textId="2F04530F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 dokumentacji przetargowej wskazano do zaprojektowania mieszankę SMA 11 na zjazdach dla kategorii ruchu KR 1-2. Obecnie obowiązujący dokument techniczny WT-2 2014 nie przewiduje projektowania mieszanki SMA 11 dla kategorii ruchu KR 1-2. Wnosimy o potwierdzenie, że na zjazdach należy zastosować mieszankę SMA 11 dla kategorii ruchu KR 3-4 zaprojektowaną przy użyciu asfaltu 50/70.”</w:t>
      </w:r>
    </w:p>
    <w:p w14:paraId="135D5D6C" w14:textId="3333085F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7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7FD5AEC7" w14:textId="4DF3A839" w:rsidR="00973210" w:rsidRPr="007D28E5" w:rsidRDefault="007D28E5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7D28E5">
        <w:rPr>
          <w:rFonts w:ascii="Arial" w:hAnsi="Arial" w:cs="Arial"/>
          <w:sz w:val="20"/>
        </w:rPr>
        <w:t>Dla kategorii ruchu KR 1-2 należy zaprojektować mieszankę SMA zgodną z obowiązującymi dokumentami technicznymi WT-2 2014.</w:t>
      </w:r>
    </w:p>
    <w:p w14:paraId="4DD03B2A" w14:textId="487A9C57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51C97A" w14:textId="6BB2BDE8" w:rsidR="00973210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 xml:space="preserve">Pytanie </w:t>
      </w:r>
      <w:r>
        <w:rPr>
          <w:rFonts w:ascii="Arial" w:hAnsi="Arial" w:cs="Arial"/>
          <w:b/>
          <w:sz w:val="20"/>
          <w:highlight w:val="green"/>
          <w:u w:val="single"/>
        </w:rPr>
        <w:t>8</w:t>
      </w:r>
    </w:p>
    <w:p w14:paraId="2BAB1E65" w14:textId="746D19A7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A80C67">
        <w:rPr>
          <w:rFonts w:ascii="Arial" w:hAnsi="Arial" w:cs="Arial"/>
          <w:sz w:val="20"/>
        </w:rPr>
        <w:t>Dotyczy D.04.07.01, D.05.03.05, D.05.03.27 W SST podano niewłaściwe wartości wolnych przestrzeni w wykonanej warstwie. Wnosimy o potwierdzenie, że wolne przestrzenie w wykonywanych warstwach dla projektowanych mieszanek na zadaniu mają być zgodne z WT-2 2016, część II „Wykonanie warstw z nawierzchni asfaltowych” tablica 16.”</w:t>
      </w:r>
    </w:p>
    <w:p w14:paraId="19882BDC" w14:textId="1768E2B7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8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18075FAE" w14:textId="5F8492D5" w:rsidR="00973210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="00A80C67">
        <w:rPr>
          <w:rFonts w:ascii="Arial" w:hAnsi="Arial" w:cs="Arial"/>
          <w:sz w:val="20"/>
        </w:rPr>
        <w:t>potwierdza</w:t>
      </w:r>
      <w:r>
        <w:rPr>
          <w:rFonts w:ascii="Arial" w:hAnsi="Arial" w:cs="Arial"/>
          <w:sz w:val="20"/>
        </w:rPr>
        <w:t>.</w:t>
      </w:r>
    </w:p>
    <w:p w14:paraId="7C01D80F" w14:textId="6DCAA537" w:rsidR="00A80C67" w:rsidRDefault="00A80C67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48728D7" w14:textId="746BC743" w:rsidR="00A80C67" w:rsidRDefault="00A80C67" w:rsidP="00A80C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7D28E5">
        <w:rPr>
          <w:rFonts w:ascii="Arial" w:hAnsi="Arial" w:cs="Arial"/>
          <w:b/>
          <w:sz w:val="20"/>
          <w:highlight w:val="green"/>
          <w:u w:val="single"/>
        </w:rPr>
        <w:t>Pytanie 9</w:t>
      </w:r>
    </w:p>
    <w:p w14:paraId="503681BE" w14:textId="1617592A" w:rsidR="00A80C67" w:rsidRDefault="00A80C67" w:rsidP="00A80C6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„Wnosimy o potwierdzenie, że mieszanki mineralno-asfaltowe dla jezdni należy zaprojektować dla kategorii ruchu KR 3 natomiast na zjazdach dla kategorii ruchu KR 1 wg. obowiązujących wymagań technicznych WT-1, WT-2 2014.”</w:t>
      </w:r>
    </w:p>
    <w:p w14:paraId="13117B33" w14:textId="4E254E3F" w:rsidR="00A80C67" w:rsidRPr="001E7092" w:rsidRDefault="00A80C67" w:rsidP="00A80C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9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20B01BD6" w14:textId="115F1B04" w:rsidR="00A80C67" w:rsidRPr="007D28E5" w:rsidRDefault="00A80C67" w:rsidP="00A80C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7D28E5">
        <w:rPr>
          <w:rFonts w:ascii="Arial" w:hAnsi="Arial" w:cs="Arial"/>
          <w:sz w:val="20"/>
        </w:rPr>
        <w:t xml:space="preserve">Zamawiający </w:t>
      </w:r>
      <w:r w:rsidR="007D28E5" w:rsidRPr="007D28E5">
        <w:rPr>
          <w:rFonts w:ascii="Arial" w:hAnsi="Arial" w:cs="Arial"/>
          <w:sz w:val="20"/>
        </w:rPr>
        <w:t>potwierdza</w:t>
      </w:r>
      <w:r w:rsidRPr="007D28E5">
        <w:rPr>
          <w:rFonts w:ascii="Arial" w:hAnsi="Arial" w:cs="Arial"/>
          <w:sz w:val="20"/>
        </w:rPr>
        <w:t>.</w:t>
      </w:r>
    </w:p>
    <w:p w14:paraId="3EA4E6C8" w14:textId="57364D03" w:rsidR="00A80C67" w:rsidRDefault="00A80C67" w:rsidP="00A80C6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9355B6F" w14:textId="0A10B118" w:rsidR="00A80C67" w:rsidRPr="00A80C67" w:rsidRDefault="00A80C67" w:rsidP="00A80C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EE2E7D">
        <w:rPr>
          <w:rFonts w:ascii="Arial" w:hAnsi="Arial" w:cs="Arial"/>
          <w:b/>
          <w:sz w:val="20"/>
          <w:highlight w:val="green"/>
          <w:u w:val="single"/>
        </w:rPr>
        <w:t>Pytanie 10</w:t>
      </w:r>
    </w:p>
    <w:p w14:paraId="3D66AEA0" w14:textId="10584D01" w:rsidR="00A80C67" w:rsidRDefault="00A80C67" w:rsidP="00A80C6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„Proszę o zamieszczenie specyfikacji technicznej dotyczącej wykonania oczyszczenia rowów lub podanie wymagań dotyczących tego zakresu.”</w:t>
      </w:r>
    </w:p>
    <w:p w14:paraId="02012075" w14:textId="0E95CCF6" w:rsidR="00A80C67" w:rsidRPr="001E7092" w:rsidRDefault="00A80C67" w:rsidP="00A80C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u w:val="single"/>
        </w:rPr>
        <w:t>10</w:t>
      </w:r>
      <w:r w:rsidRPr="001E7092">
        <w:rPr>
          <w:rFonts w:ascii="Arial" w:hAnsi="Arial" w:cs="Arial"/>
          <w:b/>
          <w:sz w:val="20"/>
          <w:u w:val="single"/>
        </w:rPr>
        <w:t>:</w:t>
      </w:r>
    </w:p>
    <w:p w14:paraId="0046E640" w14:textId="46E409B8" w:rsidR="00A80C67" w:rsidRPr="00EE2E7D" w:rsidRDefault="00EE2E7D" w:rsidP="00A80C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EE2E7D">
        <w:rPr>
          <w:rFonts w:ascii="Arial" w:hAnsi="Arial" w:cs="Arial"/>
          <w:sz w:val="20"/>
        </w:rPr>
        <w:t>Specyfikacja dot. rowów stanowi Załącznik Nr 1 do niniejszych wyjaśnień.</w:t>
      </w:r>
    </w:p>
    <w:p w14:paraId="2A07A2E6" w14:textId="77777777" w:rsidR="00A80C67" w:rsidRPr="00A80C67" w:rsidRDefault="00A80C67" w:rsidP="00A80C67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231333B" w14:textId="12DB29D3" w:rsidR="00A80C67" w:rsidRDefault="00A80C67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F0CF324" w14:textId="77777777" w:rsidR="001A1DF0" w:rsidRPr="006E78CE" w:rsidRDefault="001A1DF0" w:rsidP="001A1DF0">
      <w:pPr>
        <w:spacing w:after="0" w:line="240" w:lineRule="auto"/>
        <w:ind w:firstLine="6379"/>
        <w:rPr>
          <w:rFonts w:ascii="Times New Roman" w:hAnsi="Times New Roman" w:cs="Times New Roman"/>
          <w:b/>
        </w:rPr>
      </w:pPr>
      <w:r w:rsidRPr="006E78CE">
        <w:rPr>
          <w:rFonts w:ascii="Times New Roman" w:hAnsi="Times New Roman" w:cs="Times New Roman"/>
          <w:b/>
        </w:rPr>
        <w:t>Wicestarosta Sztumski</w:t>
      </w:r>
    </w:p>
    <w:p w14:paraId="0ED8A850" w14:textId="77777777" w:rsidR="001A1DF0" w:rsidRPr="006E78CE" w:rsidRDefault="001A1DF0" w:rsidP="001A1DF0">
      <w:pPr>
        <w:spacing w:after="0" w:line="240" w:lineRule="auto"/>
        <w:ind w:firstLine="6379"/>
        <w:rPr>
          <w:rFonts w:ascii="Times New Roman" w:hAnsi="Times New Roman" w:cs="Times New Roman"/>
          <w:b/>
        </w:rPr>
      </w:pPr>
      <w:r w:rsidRPr="006E78CE">
        <w:rPr>
          <w:rFonts w:ascii="Times New Roman" w:hAnsi="Times New Roman" w:cs="Times New Roman"/>
          <w:b/>
        </w:rPr>
        <w:t xml:space="preserve">/-/ Kazimierz </w:t>
      </w:r>
      <w:proofErr w:type="spellStart"/>
      <w:r w:rsidRPr="006E78CE">
        <w:rPr>
          <w:rFonts w:ascii="Times New Roman" w:hAnsi="Times New Roman" w:cs="Times New Roman"/>
          <w:b/>
        </w:rPr>
        <w:t>Szewczun</w:t>
      </w:r>
      <w:proofErr w:type="spellEnd"/>
    </w:p>
    <w:p w14:paraId="7CE04F54" w14:textId="445034E3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409CD8B" w14:textId="171F289D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165BDB8" w14:textId="572BF58A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7783BA" w14:textId="2005532F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754F909" w14:textId="09609444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924A6AE" w14:textId="6E1B40F8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98492E" w14:textId="3B3C3085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1E2ABF" w14:textId="135A9F5B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6A021DB" w14:textId="183F8017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721A84E" w14:textId="414289C9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ACA881" w14:textId="160BA538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7CE0838" w14:textId="161E3300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F9734A2" w14:textId="06CAF615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34F4531" w14:textId="031E402C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908385" w14:textId="55124D40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2A691E" w14:textId="080F67B6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20A735A" w14:textId="75F83369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D93CAD" w14:textId="77777777" w:rsidR="00FC69C9" w:rsidRDefault="00FC69C9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9AC6D27" w14:textId="76E45412" w:rsidR="00EE2E7D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088C856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lastRenderedPageBreak/>
        <w:t>SPECYFIKACJA TECHNICZNA</w:t>
      </w:r>
    </w:p>
    <w:p w14:paraId="11E55B1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D-06.04.01</w:t>
      </w:r>
    </w:p>
    <w:p w14:paraId="26E34E9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ROWY</w:t>
      </w:r>
    </w:p>
    <w:p w14:paraId="32B12F1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68ECA9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1. WSTĘP</w:t>
      </w:r>
    </w:p>
    <w:p w14:paraId="1E4BDEA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1.1. Przedmiot ST</w:t>
      </w:r>
    </w:p>
    <w:p w14:paraId="1D9BA667" w14:textId="755437AF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Przedmiotem niniejszej Specyfikacji Technicznej (ST) są wymagania dotyczące wykonania i odbioru robót związanych</w:t>
      </w:r>
      <w:r w:rsidR="007D28E5"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z realizacj</w:t>
      </w:r>
      <w:r w:rsidR="007D28E5">
        <w:rPr>
          <w:rFonts w:ascii="Arial" w:hAnsi="Arial" w:cs="Arial"/>
          <w:sz w:val="20"/>
          <w:szCs w:val="20"/>
        </w:rPr>
        <w:t>ą</w:t>
      </w:r>
      <w:r w:rsidRPr="00F32E94">
        <w:rPr>
          <w:rFonts w:ascii="Arial" w:hAnsi="Arial" w:cs="Arial"/>
          <w:sz w:val="20"/>
          <w:szCs w:val="20"/>
        </w:rPr>
        <w:t xml:space="preserve"> zadania:</w:t>
      </w:r>
    </w:p>
    <w:p w14:paraId="774B7D2E" w14:textId="77777777" w:rsidR="00EE2E7D" w:rsidRPr="00F32E94" w:rsidRDefault="00EE2E7D" w:rsidP="00EE2E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2E94">
        <w:rPr>
          <w:rFonts w:ascii="Arial" w:hAnsi="Arial" w:cs="Arial"/>
          <w:b/>
          <w:sz w:val="20"/>
          <w:szCs w:val="20"/>
        </w:rPr>
        <w:t>„Przebudowa drogi powiatowej nr 2936G na odcinku DW 515 – Żuławka Sztumska w wymiarze 10,996 km od km 1+800 do km 12+796,16”</w:t>
      </w:r>
    </w:p>
    <w:p w14:paraId="260E3DA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6017E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1.2. Zakres stosowania ST</w:t>
      </w:r>
    </w:p>
    <w:p w14:paraId="00817912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1.2.1. Specyfikacje Techniczne stanowią część dokumentów przetargowych i należy je stosować w zlecaniu i wykonaniu robót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wraz ze Specyfikacją Istotnych Warunków Zamówienia, dokumentacją projektową i przedmiarami robót.</w:t>
      </w:r>
    </w:p>
    <w:p w14:paraId="020E68F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DD221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1.3. Zakres robót objętych ST</w:t>
      </w:r>
    </w:p>
    <w:p w14:paraId="2770F22E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Ustalenia zawarte w niniejszej specyfikacji dotyczą zasad prowadzenia robót związanych z oczyszczaniem, pogłębianiem oraz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profilowaniem dna i skarp rowu.</w:t>
      </w:r>
    </w:p>
    <w:p w14:paraId="33078D9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Dla zadania wymienionego w pkt. 1.1. przewidziano czyszczenie i regulację istniejących rowów (lokalizacja rowów zgodnie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z Projektem drogowym).</w:t>
      </w:r>
    </w:p>
    <w:p w14:paraId="43CF297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32E94">
        <w:rPr>
          <w:rFonts w:ascii="Arial" w:hAnsi="Arial" w:cs="Arial"/>
          <w:sz w:val="20"/>
          <w:szCs w:val="20"/>
          <w:u w:val="single"/>
        </w:rPr>
        <w:t>(Długość rowów objętych w/w pracami podano w przedmiarze robót drogowych dla przedmiotowego zadania inwestycyjnego.)</w:t>
      </w:r>
    </w:p>
    <w:p w14:paraId="7D7613F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7E55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1.4. Określenia podstawowe</w:t>
      </w:r>
    </w:p>
    <w:p w14:paraId="1C56C7F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 xml:space="preserve">1.4.1. </w:t>
      </w:r>
      <w:r w:rsidRPr="00F32E94">
        <w:rPr>
          <w:rFonts w:ascii="Arial" w:hAnsi="Arial" w:cs="Arial"/>
          <w:sz w:val="20"/>
          <w:szCs w:val="20"/>
        </w:rPr>
        <w:t>Rów - otwarty wykop o głębokości co najmniej 30 cm, który zbiera i odprowadza wodę.</w:t>
      </w:r>
    </w:p>
    <w:p w14:paraId="48427539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 xml:space="preserve">1.4.2. </w:t>
      </w:r>
      <w:r w:rsidRPr="00F32E94">
        <w:rPr>
          <w:rFonts w:ascii="Arial" w:hAnsi="Arial" w:cs="Arial"/>
          <w:sz w:val="20"/>
          <w:szCs w:val="20"/>
        </w:rPr>
        <w:t>Rów przydrożny - rów zbierający wodę z korony drogi.</w:t>
      </w:r>
    </w:p>
    <w:p w14:paraId="3897D669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 xml:space="preserve">1.4.3. </w:t>
      </w:r>
      <w:r w:rsidRPr="00F32E94">
        <w:rPr>
          <w:rFonts w:ascii="Arial" w:hAnsi="Arial" w:cs="Arial"/>
          <w:sz w:val="20"/>
          <w:szCs w:val="20"/>
        </w:rPr>
        <w:t>Rów odpływowy - rów odprowadzający wodę poza pas drogowy.</w:t>
      </w:r>
    </w:p>
    <w:p w14:paraId="340957A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 xml:space="preserve">1.4.4. </w:t>
      </w:r>
      <w:r w:rsidRPr="00F32E94">
        <w:rPr>
          <w:rFonts w:ascii="Arial" w:hAnsi="Arial" w:cs="Arial"/>
          <w:sz w:val="20"/>
          <w:szCs w:val="20"/>
        </w:rPr>
        <w:t>Rów stokowy - rów zbierający wodę spływającą ze stoku.</w:t>
      </w:r>
    </w:p>
    <w:p w14:paraId="657495E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 xml:space="preserve">1.4.5. </w:t>
      </w:r>
      <w:r w:rsidRPr="00F32E94">
        <w:rPr>
          <w:rFonts w:ascii="Arial" w:hAnsi="Arial" w:cs="Arial"/>
          <w:sz w:val="20"/>
          <w:szCs w:val="20"/>
        </w:rPr>
        <w:t>Pozostałe określenia podstawowe są zgodne z obowiązującymi, odpowiednimi polskimi normami i z definicjami podanymi w ST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D-M-00.00.00 „Wymagania ogólne” pkt. 1.4.</w:t>
      </w:r>
    </w:p>
    <w:p w14:paraId="44A6CE6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48197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1.5. Ogólne wymagania dotyczące robót</w:t>
      </w:r>
    </w:p>
    <w:p w14:paraId="3F057C83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wymagania dotyczące robót podano w ST D-M-00.00.00 „Wymagania ogólne” pkt. 1.5.</w:t>
      </w:r>
    </w:p>
    <w:p w14:paraId="508693B7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DC36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2. MATERIAŁY</w:t>
      </w:r>
    </w:p>
    <w:p w14:paraId="379EEE5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Materiały nie występują.</w:t>
      </w:r>
    </w:p>
    <w:p w14:paraId="6729320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01A0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3. SPRZĘT</w:t>
      </w:r>
    </w:p>
    <w:p w14:paraId="11A2FA8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3.1. Ogólne wymagania dotyczące sprzętu</w:t>
      </w:r>
    </w:p>
    <w:p w14:paraId="3470BB52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wymagania dotyczące sprzętu podano w ST D-M-00.00.00 „Wymagania ogólne” pkt. 3.</w:t>
      </w:r>
    </w:p>
    <w:p w14:paraId="63CF02D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BF773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3.2. Sprzęt do wykonywania robót remontowych i utrzymaniowych</w:t>
      </w:r>
    </w:p>
    <w:p w14:paraId="3B40C35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Wykonawca przystępujący do wykonania robót powinien wykazać się możliwością korzystania z następującego sprzętu:</w:t>
      </w:r>
    </w:p>
    <w:p w14:paraId="3E9345F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koparek podsiębiernych,</w:t>
      </w:r>
    </w:p>
    <w:p w14:paraId="32EFC84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spycharek lemieszowych,</w:t>
      </w:r>
    </w:p>
    <w:p w14:paraId="33E34AC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równiarek samojezdnych lub przyczepnych,</w:t>
      </w:r>
    </w:p>
    <w:p w14:paraId="31B9496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urządzeń kontrolno-pomiarowych,</w:t>
      </w:r>
    </w:p>
    <w:p w14:paraId="2C40DCD7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zagęszczarek płytowych wibracyjnych.</w:t>
      </w:r>
    </w:p>
    <w:p w14:paraId="4F64EC5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CB7CF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4. TRANSPORT</w:t>
      </w:r>
    </w:p>
    <w:p w14:paraId="3286659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4.1. Ogólne wymagania dotyczące transportu</w:t>
      </w:r>
    </w:p>
    <w:p w14:paraId="68F3A1D3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wymagania dotyczące transportu podano w ST D-M-00.00.00 „Wymagania ogólne” pkt. 4.</w:t>
      </w:r>
    </w:p>
    <w:p w14:paraId="65940B4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822ECF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4.2. Transport materiałów</w:t>
      </w:r>
    </w:p>
    <w:p w14:paraId="4C4AB0F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Przy wykonywaniu robót określonych w niniejszej ST, można korzystać z dowolnych środków transportowych.</w:t>
      </w:r>
    </w:p>
    <w:p w14:paraId="6874A21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A3CF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5. WYKONANIE ROBÓT</w:t>
      </w:r>
    </w:p>
    <w:p w14:paraId="3580D06E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5.1. Ogólne zasady wykonania robót</w:t>
      </w:r>
    </w:p>
    <w:p w14:paraId="29C8CE8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zasady wykonania robót podano w ST D-M-00.00.00 „Wymagania ogólne” pkt. 5.</w:t>
      </w:r>
    </w:p>
    <w:p w14:paraId="17A6C35E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A1AFD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lastRenderedPageBreak/>
        <w:t>5.2. Oczyszczenie rowu</w:t>
      </w:r>
    </w:p>
    <w:p w14:paraId="1CE3718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Oczyszczenie rowu polega na wybraniu namułu naniesionego przez wodę, ścięciu trawy i krzaków w obrębie rowu.</w:t>
      </w:r>
    </w:p>
    <w:p w14:paraId="5C87C26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8D7C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5.3. Pogłębianie i wyprofilowanie dna i skarp rowu</w:t>
      </w:r>
    </w:p>
    <w:p w14:paraId="22BA031F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W wyniku prac remontowych należy uzyskać podane poniżej wymiary geometryczne rowu i skarp, zgodne z PN-S-02204 [1]: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- dla rowu przydrożnego w kształcie:</w:t>
      </w:r>
    </w:p>
    <w:p w14:paraId="55168757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a) trapezowym - szerokość dna co najmniej 0,40 m, nachylenie skarp od 1:1,5 do 1:1,3, głębokość od 0,30 m do 1,20 m liczona jako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różnica poziomów dna i niższej krawędzi górnej rowu;</w:t>
      </w:r>
    </w:p>
    <w:p w14:paraId="5C52EE9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b) trójkątnym - dno wyokrąglone łukiem kołowym o promieniu 0,50 m, nachylenie skarpy wewnętrznej 1:3, nachylenie skarpy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zewnętrznej od 1:3 do 1:10, głębokość od 0,30 m do 1,50 m liczona jako różnica poziomów dna i niższej krawędzi górnej rowu;</w:t>
      </w:r>
    </w:p>
    <w:p w14:paraId="74981CD3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c) opływowym - dno wyokrąglone łukiem kołowym o promieniu 2,0 m, krawędzie górne wyokrąglone łukami kołowymi o promieniu 1,0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m do 2,0 m, nachylenie skarpy wewnętrznej 1:3, a skarpy zewnętrznej od 1:3 do 1:10, głębokość od 0,30 m do 0,50 m liczona jako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różnica poziomów dna i niższej krawędzi górnej rowu;</w:t>
      </w:r>
    </w:p>
    <w:p w14:paraId="0A96C22B" w14:textId="77777777" w:rsidR="00EE2E7D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A3944E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dla rowu stokowego - kształt trapezowy, szerokość dna co najmniej 0,40 m, nachylenie skarp od 1:1,5 do 1:3, głębokość co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najmniej 0,50 m, rów ten powinien być oddalony co najmniej o 3,0 m od krawędzi skarpy drogowej przy gruntach suchych i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zwartych i co najmniej o 5,0 m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w pozostałych przypadkach,</w:t>
      </w:r>
    </w:p>
    <w:p w14:paraId="227D6661" w14:textId="77777777" w:rsidR="00EE2E7D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CD5C3F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dla rowu odpływowego - kształt trapezowy, szerokość dna co najmniej 0,40 m, głębokość minimum 0,50 m, przebieg prostoliniowy,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na załamaniach trasy łuki kołowe o promieniu co najmniej 10,0 m.</w:t>
      </w:r>
    </w:p>
    <w:p w14:paraId="4458C1E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Najmniejszy dopuszczalny spadek podłużny rowu powinien wynosić 0,2%; w wyjątkowych sytuacjach na odcinkach nie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przekraczających 200 m - 0,1%.</w:t>
      </w:r>
    </w:p>
    <w:p w14:paraId="1C131BF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Największy spadek podłużny rowu nie powinien przekraczać:</w:t>
      </w:r>
    </w:p>
    <w:p w14:paraId="2424F8A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a) przy nieumocnionych skarpach i dnie</w:t>
      </w:r>
    </w:p>
    <w:p w14:paraId="3962CB72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w gruntach piaszczystych - 1,5%,</w:t>
      </w:r>
    </w:p>
    <w:p w14:paraId="1E23AC8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w gruntach piaszczysto-gliniastych, pylastych - 2,0%,</w:t>
      </w:r>
    </w:p>
    <w:p w14:paraId="599EA842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w gruntach gliniastych i ilastych - 3,0%,</w:t>
      </w:r>
    </w:p>
    <w:p w14:paraId="36A9D76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w gruntach skalistych - 10,0%;</w:t>
      </w:r>
    </w:p>
    <w:p w14:paraId="2CBA363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b) przy umocnionych skarpach i dnie</w:t>
      </w:r>
    </w:p>
    <w:p w14:paraId="7EBE5F4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matą trawiastą - 2,0%,</w:t>
      </w:r>
    </w:p>
    <w:p w14:paraId="685A005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darniną - 3,0%,</w:t>
      </w:r>
    </w:p>
    <w:p w14:paraId="5FCB991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faszyną - 4,0%,</w:t>
      </w:r>
    </w:p>
    <w:p w14:paraId="20BDDE6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brukiem na sucho - 6,0%,</w:t>
      </w:r>
    </w:p>
    <w:p w14:paraId="2F08F7D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elementami betonowymi - 10,0%,</w:t>
      </w:r>
    </w:p>
    <w:p w14:paraId="0618F3B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brukiem na podsypce cementowo-piaskowej - 15,0%.</w:t>
      </w:r>
    </w:p>
    <w:p w14:paraId="06494EB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DFA5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5.4. Roboty wykończeniowe</w:t>
      </w:r>
    </w:p>
    <w:p w14:paraId="415A452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Namuł i nadmiar gruntu pochodzącego z remontowanych rowów i skarp należy wywieźć poza obręb pasa drogowego i rozplantować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w miejscu zaakceptowanym przez Inżyniera.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Sposób zniszczenia pozostałości po usuniętej roślinności powinien być zgodny z ustaleniami ST lub wskazaniami Inżyniera.</w:t>
      </w:r>
    </w:p>
    <w:p w14:paraId="3F1BF00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487A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6. KONTROLA JAKOŚCI ROBÓT</w:t>
      </w:r>
    </w:p>
    <w:p w14:paraId="4D65BBB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6.1. Ogólne zasady kontroli jakości robót</w:t>
      </w:r>
    </w:p>
    <w:p w14:paraId="52DFE48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zasady kontroli jakości robót podano w ST D-M-00.00.00 „Wymagania ogólne” pkt. 6.</w:t>
      </w:r>
    </w:p>
    <w:p w14:paraId="724DEE1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B408A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6.2. Pomiary cech geometrycznych remontowanego rowu i skarp</w:t>
      </w:r>
    </w:p>
    <w:p w14:paraId="3FBBD05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Częstotliwość oraz zakres pomiarów podaje tablica 1.</w:t>
      </w:r>
    </w:p>
    <w:p w14:paraId="2334A13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</w:tblGrid>
      <w:tr w:rsidR="00EE2E7D" w:rsidRPr="00F32E94" w14:paraId="21BB733A" w14:textId="77777777" w:rsidTr="00AD50C1">
        <w:tc>
          <w:tcPr>
            <w:tcW w:w="1129" w:type="dxa"/>
          </w:tcPr>
          <w:p w14:paraId="3519FF12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415B1694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2693" w:type="dxa"/>
          </w:tcPr>
          <w:p w14:paraId="5E7DF8B7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Minimalna częstotliwość pomiarów</w:t>
            </w:r>
          </w:p>
        </w:tc>
      </w:tr>
      <w:tr w:rsidR="00EE2E7D" w:rsidRPr="00F32E94" w14:paraId="69CA0597" w14:textId="77777777" w:rsidTr="00AD50C1">
        <w:tc>
          <w:tcPr>
            <w:tcW w:w="1129" w:type="dxa"/>
          </w:tcPr>
          <w:p w14:paraId="2F403D61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E7F8CC0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Spadek podłużny rowu</w:t>
            </w:r>
          </w:p>
        </w:tc>
        <w:tc>
          <w:tcPr>
            <w:tcW w:w="2693" w:type="dxa"/>
          </w:tcPr>
          <w:p w14:paraId="0E478BC7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1 km na każde 5 km drogi</w:t>
            </w:r>
          </w:p>
        </w:tc>
      </w:tr>
      <w:tr w:rsidR="00EE2E7D" w:rsidRPr="00F32E94" w14:paraId="0236B798" w14:textId="77777777" w:rsidTr="00AD50C1">
        <w:tc>
          <w:tcPr>
            <w:tcW w:w="1129" w:type="dxa"/>
          </w:tcPr>
          <w:p w14:paraId="064569D2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FF94959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Szerokość i głębokość rowu</w:t>
            </w:r>
          </w:p>
        </w:tc>
        <w:tc>
          <w:tcPr>
            <w:tcW w:w="2693" w:type="dxa"/>
          </w:tcPr>
          <w:p w14:paraId="097FADAF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1 raz na 100 m</w:t>
            </w:r>
          </w:p>
        </w:tc>
      </w:tr>
      <w:tr w:rsidR="00EE2E7D" w:rsidRPr="00F32E94" w14:paraId="7D0AF860" w14:textId="77777777" w:rsidTr="00AD50C1">
        <w:tc>
          <w:tcPr>
            <w:tcW w:w="1129" w:type="dxa"/>
          </w:tcPr>
          <w:p w14:paraId="082DEB5C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4AAD12F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Powierzchnia skarp</w:t>
            </w:r>
          </w:p>
        </w:tc>
        <w:tc>
          <w:tcPr>
            <w:tcW w:w="2693" w:type="dxa"/>
          </w:tcPr>
          <w:p w14:paraId="0827E1B8" w14:textId="77777777" w:rsidR="00EE2E7D" w:rsidRPr="00F32E94" w:rsidRDefault="00EE2E7D" w:rsidP="00AD50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2E94">
              <w:rPr>
                <w:rFonts w:ascii="Arial" w:hAnsi="Arial" w:cs="Arial"/>
                <w:bCs/>
                <w:sz w:val="20"/>
                <w:szCs w:val="20"/>
              </w:rPr>
              <w:t>1 raz na 100 m</w:t>
            </w:r>
          </w:p>
        </w:tc>
      </w:tr>
    </w:tbl>
    <w:p w14:paraId="28E7855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F34E38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0C9E9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6.2.1. Spadki podłużne rowu</w:t>
      </w:r>
    </w:p>
    <w:p w14:paraId="202D2EC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Spadki podłużne rowu powinny być zgodne z dokumentacją projektową, z tolerancją ± 0,5% spadku.</w:t>
      </w:r>
    </w:p>
    <w:p w14:paraId="0068179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D64B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6.2.2. Szerokość i głębokość rowu</w:t>
      </w:r>
    </w:p>
    <w:p w14:paraId="7DED225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lastRenderedPageBreak/>
        <w:t>Szerokość i głębokość rowu powinna być zgodna z dokumentacją projektową z tolerancją ± 5 cm.</w:t>
      </w:r>
    </w:p>
    <w:p w14:paraId="0D4C0AE7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AED8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6.2.3. Powierzchnia skarp</w:t>
      </w:r>
    </w:p>
    <w:p w14:paraId="0A88057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Powierzchnię skarp należy sprawdzać szablonem. Prześwit między skarpą a szablonem nie powinien przekraczać 3cm.</w:t>
      </w:r>
    </w:p>
    <w:p w14:paraId="1F45F4B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C974C1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7. OBMIAR ROBÓT</w:t>
      </w:r>
    </w:p>
    <w:p w14:paraId="2091086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7.1. Ogólne zasady obmiaru robót</w:t>
      </w:r>
    </w:p>
    <w:p w14:paraId="76FB12CE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zasady obmiaru robót podano w ST D-M-00.00.00 „Wymagania ogólne” pkt. 7.</w:t>
      </w:r>
    </w:p>
    <w:p w14:paraId="190D511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EB9FC4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7.2. Jednostka obmiarowa</w:t>
      </w:r>
    </w:p>
    <w:p w14:paraId="205CEA9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Jednostką obmiarową jest m (metr) remontowanego rowu.</w:t>
      </w:r>
    </w:p>
    <w:p w14:paraId="27A041C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092FF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8. ODBIÓR ROBÓT</w:t>
      </w:r>
    </w:p>
    <w:p w14:paraId="5D82C092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zasady odbioru robót podano w ST D-M-00.00.00 „Wymagania ogólne” pkt. 8.</w:t>
      </w:r>
      <w:r>
        <w:rPr>
          <w:rFonts w:ascii="Arial" w:hAnsi="Arial" w:cs="Arial"/>
          <w:sz w:val="20"/>
          <w:szCs w:val="20"/>
        </w:rPr>
        <w:t xml:space="preserve"> </w:t>
      </w:r>
      <w:r w:rsidRPr="00F32E94">
        <w:rPr>
          <w:rFonts w:ascii="Arial" w:hAnsi="Arial" w:cs="Arial"/>
          <w:sz w:val="20"/>
          <w:szCs w:val="20"/>
        </w:rPr>
        <w:t>Roboty uznaje się za wykonane zgodnie z dokumentacją projektową, ST i wymaganiami Inżyniera, jeżeli wszystkie pomiary i badania z zachowaniem tolerancji wg pkt. 6 dały wyniki pozytywne.</w:t>
      </w:r>
    </w:p>
    <w:p w14:paraId="7C227BB3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079F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9. PODSTAWA PŁATNOŚCI</w:t>
      </w:r>
    </w:p>
    <w:p w14:paraId="1184B169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9.1. Ogólne ustalenia dotyczące podstawy płatności</w:t>
      </w:r>
    </w:p>
    <w:p w14:paraId="2A96BC19" w14:textId="77777777" w:rsidR="00EE2E7D" w:rsidRPr="00F32E94" w:rsidRDefault="00EE2E7D" w:rsidP="00EE2E7D">
      <w:pPr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Ogólne ustalenia dotyczące podstawy płatności podano w ST D-M-00.00.00 „Wymagania ogólne” pkt. 9.</w:t>
      </w:r>
    </w:p>
    <w:p w14:paraId="73BAD25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9.2. Cena jednostki obmiarowej</w:t>
      </w:r>
    </w:p>
    <w:p w14:paraId="6124237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Cena wykonania 1 m remontowanego rowu obejmuje:</w:t>
      </w:r>
    </w:p>
    <w:p w14:paraId="4271F170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roboty pomiarowe i przygotowawcze,</w:t>
      </w:r>
    </w:p>
    <w:p w14:paraId="284821A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oznakowanie robót,</w:t>
      </w:r>
    </w:p>
    <w:p w14:paraId="724057A3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oczyszczenie rowu,</w:t>
      </w:r>
    </w:p>
    <w:p w14:paraId="296F0319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pogłębianie i profilowanie rowu,</w:t>
      </w:r>
    </w:p>
    <w:p w14:paraId="22D6ABB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ścięcie trawy i krzaków,</w:t>
      </w:r>
    </w:p>
    <w:p w14:paraId="2086C9A7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odwiezienie urobku,</w:t>
      </w:r>
    </w:p>
    <w:p w14:paraId="6DF2BF4B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roboty wykończeniowe,</w:t>
      </w:r>
    </w:p>
    <w:p w14:paraId="14A17FDC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- przeprowadzenie pomiarów wymaganych w specyfikacji technicznej.</w:t>
      </w:r>
    </w:p>
    <w:p w14:paraId="12B2C5B6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577FBA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10. PRZEPISY ZWIĄZANE</w:t>
      </w:r>
    </w:p>
    <w:p w14:paraId="0ACBEDA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10.1. Normy</w:t>
      </w:r>
    </w:p>
    <w:p w14:paraId="4C689C25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1. PN-S-02204 Drogi samochodowe. Odwodnienie dróg.</w:t>
      </w:r>
    </w:p>
    <w:p w14:paraId="643B2309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C0A2D" w14:textId="77777777" w:rsidR="00EE2E7D" w:rsidRPr="00F32E94" w:rsidRDefault="00EE2E7D" w:rsidP="00EE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E94">
        <w:rPr>
          <w:rFonts w:ascii="Arial" w:hAnsi="Arial" w:cs="Arial"/>
          <w:b/>
          <w:bCs/>
          <w:sz w:val="20"/>
          <w:szCs w:val="20"/>
        </w:rPr>
        <w:t>10.2. Inne materiały</w:t>
      </w:r>
    </w:p>
    <w:p w14:paraId="07DF4E7F" w14:textId="77777777" w:rsidR="00EE2E7D" w:rsidRPr="00F32E94" w:rsidRDefault="00EE2E7D" w:rsidP="00EE2E7D">
      <w:pPr>
        <w:jc w:val="both"/>
        <w:rPr>
          <w:rFonts w:ascii="Arial" w:hAnsi="Arial" w:cs="Arial"/>
          <w:sz w:val="20"/>
          <w:szCs w:val="20"/>
        </w:rPr>
      </w:pPr>
      <w:r w:rsidRPr="00F32E94">
        <w:rPr>
          <w:rFonts w:ascii="Arial" w:hAnsi="Arial" w:cs="Arial"/>
          <w:sz w:val="20"/>
          <w:szCs w:val="20"/>
        </w:rPr>
        <w:t>2. Stanisław Datka, Stanisław Lenczewski: Drogowe roboty ziemne.</w:t>
      </w:r>
    </w:p>
    <w:p w14:paraId="4EC8CDD0" w14:textId="77777777" w:rsidR="00EE2E7D" w:rsidRPr="001E7092" w:rsidRDefault="00EE2E7D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2CC8688" w14:textId="77777777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105F2D" w14:textId="77777777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FB08896" w14:textId="77777777" w:rsidR="00973210" w:rsidRPr="001E7092" w:rsidRDefault="00973210" w:rsidP="0097321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FC09D13" w14:textId="77777777" w:rsidR="00850C9A" w:rsidRPr="001E7092" w:rsidRDefault="00850C9A" w:rsidP="00850C9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336BAA4" w14:textId="77777777" w:rsidR="00850C9A" w:rsidRPr="001E7092" w:rsidRDefault="00850C9A" w:rsidP="000F654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81E000" w14:textId="77777777" w:rsidR="001E7092" w:rsidRDefault="001E7092" w:rsidP="000F654A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49DF4FF5" w14:textId="77777777" w:rsidR="00C71F02" w:rsidRPr="00CF61F7" w:rsidRDefault="00C71F02" w:rsidP="00CF61F7">
      <w:pPr>
        <w:spacing w:after="0" w:line="240" w:lineRule="auto"/>
        <w:jc w:val="both"/>
        <w:rPr>
          <w:rFonts w:ascii="Arial" w:hAnsi="Arial" w:cs="Arial"/>
          <w:sz w:val="12"/>
        </w:rPr>
      </w:pPr>
    </w:p>
    <w:sectPr w:rsidR="00C71F02" w:rsidRPr="00CF61F7" w:rsidSect="00EE2E7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E3E2" w14:textId="77777777" w:rsidR="00A415BE" w:rsidRDefault="00A415BE" w:rsidP="00E54A53">
      <w:pPr>
        <w:spacing w:after="0" w:line="240" w:lineRule="auto"/>
      </w:pPr>
      <w:r>
        <w:separator/>
      </w:r>
    </w:p>
  </w:endnote>
  <w:endnote w:type="continuationSeparator" w:id="0">
    <w:p w14:paraId="74029FEF" w14:textId="77777777" w:rsidR="00A415BE" w:rsidRDefault="00A415BE" w:rsidP="00E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561694"/>
      <w:docPartObj>
        <w:docPartGallery w:val="Page Numbers (Bottom of Page)"/>
        <w:docPartUnique/>
      </w:docPartObj>
    </w:sdtPr>
    <w:sdtEndPr/>
    <w:sdtContent>
      <w:p w14:paraId="6FAF9CA4" w14:textId="46EA2AD1" w:rsidR="00DD68B0" w:rsidRDefault="00DD6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B481E" w14:textId="77777777" w:rsidR="00DD68B0" w:rsidRDefault="00DD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2ED6" w14:textId="77777777" w:rsidR="00A415BE" w:rsidRDefault="00A415BE" w:rsidP="00E54A53">
      <w:pPr>
        <w:spacing w:after="0" w:line="240" w:lineRule="auto"/>
      </w:pPr>
      <w:r>
        <w:separator/>
      </w:r>
    </w:p>
  </w:footnote>
  <w:footnote w:type="continuationSeparator" w:id="0">
    <w:p w14:paraId="3767BED9" w14:textId="77777777" w:rsidR="00A415BE" w:rsidRDefault="00A415BE" w:rsidP="00E5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0"/>
    <w:rsid w:val="0003404B"/>
    <w:rsid w:val="00087CF2"/>
    <w:rsid w:val="00092A0A"/>
    <w:rsid w:val="000950C8"/>
    <w:rsid w:val="000C0FE7"/>
    <w:rsid w:val="000C5BE8"/>
    <w:rsid w:val="000F654A"/>
    <w:rsid w:val="000F74B3"/>
    <w:rsid w:val="00101616"/>
    <w:rsid w:val="00120789"/>
    <w:rsid w:val="001346B5"/>
    <w:rsid w:val="00146445"/>
    <w:rsid w:val="0017461D"/>
    <w:rsid w:val="001A1DF0"/>
    <w:rsid w:val="001A4BA0"/>
    <w:rsid w:val="001E38E6"/>
    <w:rsid w:val="001E7092"/>
    <w:rsid w:val="00226FA8"/>
    <w:rsid w:val="00242E19"/>
    <w:rsid w:val="00254C9A"/>
    <w:rsid w:val="0025783C"/>
    <w:rsid w:val="0026000A"/>
    <w:rsid w:val="002A3CA7"/>
    <w:rsid w:val="002B520D"/>
    <w:rsid w:val="002C571C"/>
    <w:rsid w:val="002D18FB"/>
    <w:rsid w:val="002F567D"/>
    <w:rsid w:val="00357D6E"/>
    <w:rsid w:val="00386585"/>
    <w:rsid w:val="003B03AC"/>
    <w:rsid w:val="00404BEE"/>
    <w:rsid w:val="00424D8C"/>
    <w:rsid w:val="00452ED2"/>
    <w:rsid w:val="0046501E"/>
    <w:rsid w:val="00477AC2"/>
    <w:rsid w:val="004A7D2D"/>
    <w:rsid w:val="00513210"/>
    <w:rsid w:val="005209F0"/>
    <w:rsid w:val="005523DA"/>
    <w:rsid w:val="0057282D"/>
    <w:rsid w:val="00580EDA"/>
    <w:rsid w:val="005D25C0"/>
    <w:rsid w:val="00687392"/>
    <w:rsid w:val="00687DFF"/>
    <w:rsid w:val="006A62F9"/>
    <w:rsid w:val="007071D4"/>
    <w:rsid w:val="007107B2"/>
    <w:rsid w:val="00716CBB"/>
    <w:rsid w:val="007514D1"/>
    <w:rsid w:val="00766DE9"/>
    <w:rsid w:val="007B62B9"/>
    <w:rsid w:val="007C79E4"/>
    <w:rsid w:val="007D28E5"/>
    <w:rsid w:val="007F5952"/>
    <w:rsid w:val="00816438"/>
    <w:rsid w:val="00820B69"/>
    <w:rsid w:val="008219D5"/>
    <w:rsid w:val="00830805"/>
    <w:rsid w:val="00850C9A"/>
    <w:rsid w:val="00853303"/>
    <w:rsid w:val="00863550"/>
    <w:rsid w:val="008712E9"/>
    <w:rsid w:val="008A6142"/>
    <w:rsid w:val="008F17BA"/>
    <w:rsid w:val="00906D10"/>
    <w:rsid w:val="00946045"/>
    <w:rsid w:val="00947718"/>
    <w:rsid w:val="00973210"/>
    <w:rsid w:val="009A3222"/>
    <w:rsid w:val="009E4811"/>
    <w:rsid w:val="00A12A9C"/>
    <w:rsid w:val="00A2737D"/>
    <w:rsid w:val="00A3336C"/>
    <w:rsid w:val="00A341C3"/>
    <w:rsid w:val="00A415BE"/>
    <w:rsid w:val="00A60F8E"/>
    <w:rsid w:val="00A768AE"/>
    <w:rsid w:val="00A80C67"/>
    <w:rsid w:val="00A85F24"/>
    <w:rsid w:val="00A86B9B"/>
    <w:rsid w:val="00AA4B08"/>
    <w:rsid w:val="00AE41DE"/>
    <w:rsid w:val="00B15896"/>
    <w:rsid w:val="00B44026"/>
    <w:rsid w:val="00B96490"/>
    <w:rsid w:val="00BA223A"/>
    <w:rsid w:val="00BB37CF"/>
    <w:rsid w:val="00BE0B7C"/>
    <w:rsid w:val="00BE408A"/>
    <w:rsid w:val="00C55A27"/>
    <w:rsid w:val="00C714EC"/>
    <w:rsid w:val="00C71F02"/>
    <w:rsid w:val="00C86912"/>
    <w:rsid w:val="00C870E0"/>
    <w:rsid w:val="00CA0886"/>
    <w:rsid w:val="00CA20C9"/>
    <w:rsid w:val="00CA2417"/>
    <w:rsid w:val="00CA4F13"/>
    <w:rsid w:val="00CF61F7"/>
    <w:rsid w:val="00D25BFE"/>
    <w:rsid w:val="00DD68B0"/>
    <w:rsid w:val="00DE5070"/>
    <w:rsid w:val="00DF0553"/>
    <w:rsid w:val="00DF4CDE"/>
    <w:rsid w:val="00DF5F03"/>
    <w:rsid w:val="00E10879"/>
    <w:rsid w:val="00E54A53"/>
    <w:rsid w:val="00EA1840"/>
    <w:rsid w:val="00ED5DCB"/>
    <w:rsid w:val="00ED7C5C"/>
    <w:rsid w:val="00EE2E7D"/>
    <w:rsid w:val="00EE7853"/>
    <w:rsid w:val="00EF5D55"/>
    <w:rsid w:val="00F34CE2"/>
    <w:rsid w:val="00F6466C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90BF"/>
  <w15:chartTrackingRefBased/>
  <w15:docId w15:val="{D7C78A4C-2C9B-4FC5-95F7-30C2565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3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A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A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A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20D"/>
  </w:style>
  <w:style w:type="paragraph" w:styleId="Stopka">
    <w:name w:val="footer"/>
    <w:basedOn w:val="Normalny"/>
    <w:link w:val="StopkaZnak"/>
    <w:uiPriority w:val="99"/>
    <w:unhideWhenUsed/>
    <w:rsid w:val="002B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20D"/>
  </w:style>
  <w:style w:type="table" w:styleId="Tabela-Siatka">
    <w:name w:val="Table Grid"/>
    <w:basedOn w:val="Standardowy"/>
    <w:uiPriority w:val="39"/>
    <w:rsid w:val="00EE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4666-6D71-42A6-B544-A4E33C5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Renata</cp:lastModifiedBy>
  <cp:revision>5</cp:revision>
  <dcterms:created xsi:type="dcterms:W3CDTF">2021-07-13T10:59:00Z</dcterms:created>
  <dcterms:modified xsi:type="dcterms:W3CDTF">2021-07-13T11:33:00Z</dcterms:modified>
</cp:coreProperties>
</file>