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F" w:rsidRPr="009D3CCE" w:rsidRDefault="0064406C" w:rsidP="009D3CCE">
      <w:pPr>
        <w:spacing w:after="0" w:line="276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Poznań, </w:t>
      </w:r>
      <w:r w:rsidR="00D90BD7">
        <w:rPr>
          <w:rFonts w:ascii="Calibri" w:eastAsia="Times New Roman" w:hAnsi="Calibri" w:cs="Calibri"/>
          <w:bCs/>
          <w:sz w:val="20"/>
          <w:szCs w:val="20"/>
          <w:lang w:eastAsia="pl-PL"/>
        </w:rPr>
        <w:t>dn. 15</w:t>
      </w:r>
      <w:r w:rsidR="00EB45B8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lutego 2024</w:t>
      </w:r>
      <w:r w:rsidR="009D3CCE" w:rsidRPr="009D3CC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r.</w:t>
      </w:r>
    </w:p>
    <w:p w:rsidR="00B32D0D" w:rsidRDefault="00DD2F89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DD2F89">
        <w:rPr>
          <w:rFonts w:eastAsia="Times New Roman" w:cstheme="minorHAnsi"/>
          <w:bCs/>
          <w:sz w:val="20"/>
          <w:szCs w:val="20"/>
          <w:lang w:eastAsia="pl-PL"/>
        </w:rPr>
        <w:t>D/kw.</w:t>
      </w:r>
      <w:r w:rsidR="00743AE6">
        <w:rPr>
          <w:rFonts w:eastAsia="Times New Roman" w:cstheme="minorHAnsi"/>
          <w:bCs/>
          <w:sz w:val="20"/>
          <w:szCs w:val="20"/>
          <w:lang w:eastAsia="pl-PL"/>
        </w:rPr>
        <w:t>2232……….</w:t>
      </w:r>
      <w:r w:rsidR="00EB45B8">
        <w:rPr>
          <w:rFonts w:eastAsia="Times New Roman" w:cstheme="minorHAnsi"/>
          <w:bCs/>
          <w:sz w:val="20"/>
          <w:szCs w:val="20"/>
          <w:lang w:eastAsia="pl-PL"/>
        </w:rPr>
        <w:t>.2024</w:t>
      </w:r>
      <w:r w:rsidR="009217D7">
        <w:rPr>
          <w:rFonts w:eastAsia="Times New Roman" w:cstheme="minorHAnsi"/>
          <w:bCs/>
          <w:sz w:val="20"/>
          <w:szCs w:val="20"/>
          <w:lang w:eastAsia="pl-PL"/>
        </w:rPr>
        <w:t>.IM</w:t>
      </w:r>
    </w:p>
    <w:p w:rsidR="00F70C31" w:rsidRDefault="00F70C31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F70C31" w:rsidRPr="00F70C31" w:rsidRDefault="00F70C31" w:rsidP="00F70C31">
      <w:pPr>
        <w:spacing w:after="0"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277BD" w:rsidRDefault="00C277BD" w:rsidP="00C277BD">
      <w:pPr>
        <w:pStyle w:val="wzory-sad"/>
        <w:ind w:left="3540"/>
        <w:rPr>
          <w:rFonts w:ascii="Georgia" w:hAnsi="Georgia"/>
          <w:sz w:val="28"/>
          <w:szCs w:val="28"/>
        </w:rPr>
      </w:pPr>
      <w:r w:rsidRPr="00C277BD">
        <w:rPr>
          <w:rFonts w:ascii="Georgia" w:hAnsi="Georgia"/>
          <w:sz w:val="28"/>
          <w:szCs w:val="28"/>
        </w:rPr>
        <w:t>Do wszystkich Wykonawców uczestniczących w postępowaniu</w:t>
      </w:r>
    </w:p>
    <w:p w:rsidR="00C277BD" w:rsidRPr="00C277BD" w:rsidRDefault="00C277BD" w:rsidP="00C277BD">
      <w:pPr>
        <w:pStyle w:val="wzory-sad"/>
        <w:ind w:left="3540"/>
        <w:rPr>
          <w:rFonts w:ascii="Georgia" w:hAnsi="Georgia"/>
          <w:sz w:val="28"/>
          <w:szCs w:val="28"/>
        </w:rPr>
      </w:pPr>
    </w:p>
    <w:p w:rsidR="006D5B80" w:rsidRPr="00EB45B8" w:rsidRDefault="00C277BD" w:rsidP="00EB45B8">
      <w:pPr>
        <w:pStyle w:val="wzory-tekst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b/>
          <w:sz w:val="22"/>
        </w:rPr>
        <w:t>Dotyczy:</w:t>
      </w:r>
      <w:r w:rsidR="00EB45B8">
        <w:rPr>
          <w:rFonts w:asciiTheme="minorHAnsi" w:cstheme="minorHAnsi"/>
          <w:sz w:val="22"/>
        </w:rPr>
        <w:t xml:space="preserve"> postępowania nr Ds.1/2024</w:t>
      </w:r>
      <w:r w:rsidRPr="005625EE">
        <w:rPr>
          <w:rFonts w:asciiTheme="minorHAnsi" w:cstheme="minorHAnsi"/>
          <w:sz w:val="22"/>
        </w:rPr>
        <w:t xml:space="preserve"> w sprawie udzielenia zamówienia publicznego prowadzonego w trybie podstawowym na</w:t>
      </w:r>
      <w:r w:rsidR="00EB45B8">
        <w:rPr>
          <w:rFonts w:asciiTheme="minorHAnsi" w:cstheme="minorHAnsi"/>
          <w:sz w:val="22"/>
        </w:rPr>
        <w:t xml:space="preserve"> s</w:t>
      </w:r>
      <w:r w:rsidR="00EB45B8" w:rsidRPr="00EB45B8">
        <w:rPr>
          <w:rFonts w:asciiTheme="minorHAnsi" w:cstheme="minorHAnsi"/>
          <w:sz w:val="22"/>
        </w:rPr>
        <w:t>ukcesyw</w:t>
      </w:r>
      <w:r w:rsidR="00EB45B8">
        <w:rPr>
          <w:rFonts w:asciiTheme="minorHAnsi" w:cstheme="minorHAnsi"/>
          <w:sz w:val="22"/>
        </w:rPr>
        <w:t>ne dostawy wyrobów medycznych i </w:t>
      </w:r>
      <w:r w:rsidR="00EB45B8" w:rsidRPr="00EB45B8">
        <w:rPr>
          <w:rFonts w:asciiTheme="minorHAnsi" w:cstheme="minorHAnsi"/>
          <w:sz w:val="22"/>
        </w:rPr>
        <w:t xml:space="preserve">materiałów jednorazowych, materiałów opatrunkowych, opatrunków, materiałów stomatologicznych, pasków do </w:t>
      </w:r>
      <w:proofErr w:type="spellStart"/>
      <w:r w:rsidR="00EB45B8" w:rsidRPr="00EB45B8">
        <w:rPr>
          <w:rFonts w:asciiTheme="minorHAnsi" w:cstheme="minorHAnsi"/>
          <w:sz w:val="22"/>
        </w:rPr>
        <w:t>glukometrów</w:t>
      </w:r>
      <w:proofErr w:type="spellEnd"/>
      <w:r w:rsidR="00EB45B8" w:rsidRPr="00EB45B8">
        <w:rPr>
          <w:rFonts w:asciiTheme="minorHAnsi" w:cstheme="minorHAnsi"/>
          <w:sz w:val="22"/>
        </w:rPr>
        <w:t xml:space="preserve"> </w:t>
      </w:r>
      <w:proofErr w:type="spellStart"/>
      <w:r w:rsidR="00EB45B8" w:rsidRPr="00EB45B8">
        <w:rPr>
          <w:rFonts w:asciiTheme="minorHAnsi" w:cstheme="minorHAnsi"/>
          <w:sz w:val="22"/>
        </w:rPr>
        <w:t>iXell</w:t>
      </w:r>
      <w:proofErr w:type="spellEnd"/>
      <w:r w:rsidR="00EB45B8" w:rsidRPr="00EB45B8">
        <w:rPr>
          <w:rFonts w:asciiTheme="minorHAnsi" w:cstheme="minorHAnsi"/>
          <w:sz w:val="22"/>
        </w:rPr>
        <w:t>, substancji recepturowych, rękawiczek nitrylowych, środków do dezynfekcji skóry, środków do dezynfekcji powierzc</w:t>
      </w:r>
      <w:r w:rsidR="00EB45B8">
        <w:rPr>
          <w:rFonts w:asciiTheme="minorHAnsi" w:cstheme="minorHAnsi"/>
          <w:sz w:val="22"/>
        </w:rPr>
        <w:t xml:space="preserve">hni, chusteczek dezynfekcyjnych </w:t>
      </w:r>
      <w:r w:rsidR="00EB45B8" w:rsidRPr="00EB45B8">
        <w:rPr>
          <w:rFonts w:asciiTheme="minorHAnsi" w:cstheme="minorHAnsi"/>
          <w:sz w:val="22"/>
        </w:rPr>
        <w:t>do Aresztu Śledczego w Poznaniu</w:t>
      </w:r>
      <w:r w:rsidR="00BE38F7">
        <w:rPr>
          <w:rFonts w:asciiTheme="minorHAnsi" w:cstheme="minorHAnsi"/>
          <w:sz w:val="22"/>
        </w:rPr>
        <w:t xml:space="preserve"> </w:t>
      </w:r>
      <w:r w:rsidRPr="005625EE">
        <w:rPr>
          <w:rFonts w:asciiTheme="minorHAnsi" w:cstheme="minorHAnsi"/>
          <w:sz w:val="22"/>
        </w:rPr>
        <w:t xml:space="preserve">– </w:t>
      </w:r>
      <w:r w:rsidR="00BE38F7">
        <w:rPr>
          <w:rFonts w:asciiTheme="minorHAnsi" w:cstheme="minorHAnsi"/>
          <w:b/>
          <w:sz w:val="22"/>
        </w:rPr>
        <w:t>część 2</w:t>
      </w:r>
      <w:r w:rsidR="00631A20" w:rsidRPr="00631A20">
        <w:rPr>
          <w:rFonts w:asciiTheme="minorHAnsi" w:cstheme="minorHAnsi"/>
          <w:b/>
          <w:sz w:val="22"/>
        </w:rPr>
        <w:t xml:space="preserve"> tj. </w:t>
      </w:r>
      <w:r w:rsidR="00BE38F7">
        <w:rPr>
          <w:rFonts w:asciiTheme="minorHAnsi" w:cstheme="minorHAnsi"/>
          <w:b/>
          <w:sz w:val="22"/>
          <w:lang w:val="pl"/>
        </w:rPr>
        <w:t>s</w:t>
      </w:r>
      <w:r w:rsidR="00BE38F7" w:rsidRPr="00BE38F7">
        <w:rPr>
          <w:rFonts w:asciiTheme="minorHAnsi" w:cstheme="minorHAnsi"/>
          <w:b/>
          <w:sz w:val="22"/>
          <w:lang w:val="pl"/>
        </w:rPr>
        <w:t>ukcesywne dostawy materiałów opatrunkowych do Aresztu Śledczego w Poznaniu</w:t>
      </w:r>
      <w:r w:rsidR="00BE38F7">
        <w:rPr>
          <w:rFonts w:asciiTheme="minorHAnsi" w:cstheme="minorHAnsi"/>
          <w:b/>
          <w:sz w:val="22"/>
          <w:lang w:val="pl"/>
        </w:rPr>
        <w:t>.</w:t>
      </w:r>
    </w:p>
    <w:p w:rsidR="00364635" w:rsidRDefault="00364635" w:rsidP="00364635">
      <w:pPr>
        <w:pStyle w:val="wzory-tytul-2"/>
        <w:jc w:val="center"/>
        <w:rPr>
          <w:rFonts w:asciiTheme="minorHAnsi" w:cstheme="minorHAnsi"/>
          <w:b/>
          <w:sz w:val="22"/>
        </w:rPr>
      </w:pPr>
    </w:p>
    <w:p w:rsidR="00C277BD" w:rsidRPr="005625EE" w:rsidRDefault="000D4847" w:rsidP="00364635">
      <w:pPr>
        <w:pStyle w:val="wzory-tytul-2"/>
        <w:jc w:val="center"/>
        <w:rPr>
          <w:rFonts w:asciiTheme="minorHAnsi" w:cstheme="minorHAnsi"/>
          <w:sz w:val="22"/>
        </w:rPr>
      </w:pPr>
      <w:r>
        <w:rPr>
          <w:rFonts w:asciiTheme="minorHAnsi" w:cstheme="minorHAnsi"/>
          <w:b/>
          <w:sz w:val="22"/>
        </w:rPr>
        <w:t xml:space="preserve">Zawiadomienie </w:t>
      </w:r>
      <w:r w:rsidR="00BE38F7">
        <w:rPr>
          <w:rFonts w:asciiTheme="minorHAnsi" w:cstheme="minorHAnsi"/>
          <w:b/>
          <w:sz w:val="22"/>
        </w:rPr>
        <w:t>o odrzuceniu oferty w części 2</w:t>
      </w:r>
    </w:p>
    <w:p w:rsidR="00C277BD" w:rsidRDefault="00C277BD" w:rsidP="00364635">
      <w:pPr>
        <w:pStyle w:val="wzory-tekst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sz w:val="22"/>
        </w:rPr>
        <w:t>Zamawiający, Areszt Śledczy</w:t>
      </w:r>
      <w:r w:rsidR="00357CD8" w:rsidRPr="005625EE">
        <w:rPr>
          <w:rFonts w:asciiTheme="minorHAnsi" w:cstheme="minorHAnsi"/>
          <w:sz w:val="22"/>
        </w:rPr>
        <w:t xml:space="preserve"> w Poznaniu</w:t>
      </w:r>
      <w:r w:rsidRPr="005625EE">
        <w:rPr>
          <w:rFonts w:asciiTheme="minorHAnsi" w:cstheme="minorHAnsi"/>
          <w:sz w:val="22"/>
        </w:rPr>
        <w:t xml:space="preserve">, działając na podstawie art. 226 ust. 1 pkt 8 w zw. </w:t>
      </w:r>
      <w:r w:rsidR="00357CD8" w:rsidRPr="005625EE">
        <w:rPr>
          <w:rFonts w:asciiTheme="minorHAnsi" w:cstheme="minorHAnsi"/>
          <w:sz w:val="22"/>
        </w:rPr>
        <w:t xml:space="preserve">z art. 224 ust. 6 ustawy z 11 września </w:t>
      </w:r>
      <w:r w:rsidRPr="005625EE">
        <w:rPr>
          <w:rFonts w:asciiTheme="minorHAnsi" w:cstheme="minorHAnsi"/>
          <w:sz w:val="22"/>
        </w:rPr>
        <w:t>2019 r. – Prawo zamówień publicznych, odrzuca ofertę złożoną</w:t>
      </w:r>
      <w:r w:rsidR="002976E1" w:rsidRPr="005625EE">
        <w:rPr>
          <w:rFonts w:asciiTheme="minorHAnsi" w:cstheme="minorHAnsi"/>
          <w:sz w:val="22"/>
        </w:rPr>
        <w:t xml:space="preserve"> przez </w:t>
      </w:r>
      <w:proofErr w:type="spellStart"/>
      <w:r w:rsidR="008371FA" w:rsidRPr="008371FA">
        <w:rPr>
          <w:rFonts w:ascii="Calibri" w:eastAsia="Calibri" w:hAnsi="Calibri" w:cs="Calibri"/>
          <w:color w:val="auto"/>
          <w:sz w:val="22"/>
          <w:lang w:eastAsia="en-US"/>
        </w:rPr>
        <w:t>Symed</w:t>
      </w:r>
      <w:proofErr w:type="spellEnd"/>
      <w:r w:rsidR="008371FA" w:rsidRPr="008371FA">
        <w:rPr>
          <w:rFonts w:ascii="Calibri" w:eastAsia="Calibri" w:hAnsi="Calibri" w:cs="Calibri"/>
          <w:color w:val="auto"/>
          <w:sz w:val="22"/>
          <w:lang w:eastAsia="en-US"/>
        </w:rPr>
        <w:t xml:space="preserve"> s.c., ul. Kosynierów 7, 35-242 Rzeszów</w:t>
      </w:r>
      <w:r w:rsidR="002976E1" w:rsidRPr="005625EE">
        <w:rPr>
          <w:rFonts w:asciiTheme="minorHAnsi" w:cstheme="minorHAnsi"/>
          <w:sz w:val="22"/>
        </w:rPr>
        <w:t xml:space="preserve">, </w:t>
      </w:r>
      <w:r w:rsidRPr="005625EE">
        <w:rPr>
          <w:rFonts w:asciiTheme="minorHAnsi" w:cstheme="minorHAnsi"/>
          <w:sz w:val="22"/>
        </w:rPr>
        <w:t>ponieważ zawiera ona rażąco niską cenę</w:t>
      </w:r>
      <w:r w:rsidR="00ED505B">
        <w:rPr>
          <w:rFonts w:asciiTheme="minorHAnsi" w:cstheme="minorHAnsi"/>
          <w:sz w:val="22"/>
        </w:rPr>
        <w:t xml:space="preserve"> w </w:t>
      </w:r>
      <w:r w:rsidR="009F2217">
        <w:rPr>
          <w:rFonts w:asciiTheme="minorHAnsi" w:cstheme="minorHAnsi"/>
          <w:sz w:val="22"/>
        </w:rPr>
        <w:t>stosunku do przedmiotu postępowania</w:t>
      </w:r>
      <w:r w:rsidRPr="005625EE">
        <w:rPr>
          <w:rFonts w:asciiTheme="minorHAnsi" w:cstheme="minorHAnsi"/>
          <w:sz w:val="22"/>
        </w:rPr>
        <w:t>.</w:t>
      </w:r>
    </w:p>
    <w:p w:rsidR="00BD22D4" w:rsidRPr="005625EE" w:rsidRDefault="00BD22D4" w:rsidP="00364635">
      <w:pPr>
        <w:pStyle w:val="wzory-tekst"/>
        <w:jc w:val="both"/>
        <w:rPr>
          <w:rFonts w:asciiTheme="minorHAnsi" w:cstheme="minorHAnsi"/>
          <w:sz w:val="22"/>
        </w:rPr>
      </w:pPr>
    </w:p>
    <w:p w:rsidR="00C277BD" w:rsidRPr="005625EE" w:rsidRDefault="00C277BD" w:rsidP="00364635">
      <w:pPr>
        <w:pStyle w:val="wzory-podtytul"/>
        <w:jc w:val="center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b/>
          <w:sz w:val="22"/>
        </w:rPr>
        <w:t>Uzasadnienie</w:t>
      </w:r>
    </w:p>
    <w:p w:rsidR="000D4847" w:rsidRDefault="00A1080B" w:rsidP="00364635">
      <w:pPr>
        <w:pStyle w:val="wzory-uzasadnienie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>W dniu 8 lutego 2024 r. w</w:t>
      </w:r>
      <w:r w:rsidR="00C277BD" w:rsidRPr="005625EE">
        <w:rPr>
          <w:rFonts w:asciiTheme="minorHAnsi" w:cstheme="minorHAnsi"/>
          <w:sz w:val="22"/>
        </w:rPr>
        <w:t xml:space="preserve"> toku badania i oceny ofert Zamawiający powziął podejrzenie, że </w:t>
      </w:r>
      <w:r w:rsidR="00543B7B">
        <w:rPr>
          <w:rFonts w:asciiTheme="minorHAnsi" w:cstheme="minorHAnsi"/>
          <w:sz w:val="22"/>
        </w:rPr>
        <w:t>istotne części składowe oferty</w:t>
      </w:r>
      <w:r w:rsidR="00C277BD" w:rsidRPr="005625EE">
        <w:rPr>
          <w:rFonts w:asciiTheme="minorHAnsi" w:cstheme="minorHAnsi"/>
          <w:sz w:val="22"/>
        </w:rPr>
        <w:t xml:space="preserve"> </w:t>
      </w:r>
      <w:proofErr w:type="spellStart"/>
      <w:r w:rsidR="00ED505B">
        <w:rPr>
          <w:rFonts w:ascii="Calibri" w:eastAsia="Calibri" w:hAnsi="Calibri" w:cs="Calibri"/>
          <w:color w:val="auto"/>
          <w:sz w:val="22"/>
          <w:lang w:eastAsia="en-US"/>
        </w:rPr>
        <w:t>Symed</w:t>
      </w:r>
      <w:proofErr w:type="spellEnd"/>
      <w:r w:rsidR="00ED505B">
        <w:rPr>
          <w:rFonts w:ascii="Calibri" w:eastAsia="Calibri" w:hAnsi="Calibri" w:cs="Calibri"/>
          <w:color w:val="auto"/>
          <w:sz w:val="22"/>
          <w:lang w:eastAsia="en-US"/>
        </w:rPr>
        <w:t xml:space="preserve"> s.c., ul. </w:t>
      </w:r>
      <w:r w:rsidR="00ED505B" w:rsidRPr="00ED505B">
        <w:rPr>
          <w:rFonts w:ascii="Calibri" w:eastAsia="Calibri" w:hAnsi="Calibri" w:cs="Calibri"/>
          <w:color w:val="auto"/>
          <w:sz w:val="22"/>
          <w:lang w:eastAsia="en-US"/>
        </w:rPr>
        <w:t>Kosynierów 7, 35-242 Rzeszów</w:t>
      </w:r>
      <w:r w:rsidR="00ED505B" w:rsidRPr="005625EE">
        <w:rPr>
          <w:rFonts w:asciiTheme="minorHAnsi" w:cstheme="minorHAnsi"/>
          <w:sz w:val="22"/>
        </w:rPr>
        <w:t xml:space="preserve"> </w:t>
      </w:r>
      <w:r w:rsidR="00C96FA9">
        <w:rPr>
          <w:rFonts w:asciiTheme="minorHAnsi" w:cstheme="minorHAnsi"/>
          <w:sz w:val="22"/>
        </w:rPr>
        <w:t>zawierają</w:t>
      </w:r>
      <w:r w:rsidR="00C277BD" w:rsidRPr="005625EE">
        <w:rPr>
          <w:rFonts w:asciiTheme="minorHAnsi" w:cstheme="minorHAnsi"/>
          <w:sz w:val="22"/>
        </w:rPr>
        <w:t xml:space="preserve"> rażąco niską cenę – wezwał więc Wykonawc</w:t>
      </w:r>
      <w:r w:rsidR="00C96FA9">
        <w:rPr>
          <w:rFonts w:asciiTheme="minorHAnsi" w:cstheme="minorHAnsi"/>
          <w:sz w:val="22"/>
        </w:rPr>
        <w:t xml:space="preserve">ę, na podstawie art. 224 ust. 1 </w:t>
      </w:r>
      <w:r w:rsidR="00962375">
        <w:rPr>
          <w:rFonts w:asciiTheme="minorHAnsi" w:cstheme="minorHAnsi"/>
          <w:sz w:val="22"/>
        </w:rPr>
        <w:t xml:space="preserve">ustawy </w:t>
      </w:r>
      <w:proofErr w:type="spellStart"/>
      <w:r w:rsidR="00962375">
        <w:rPr>
          <w:rFonts w:asciiTheme="minorHAnsi" w:cstheme="minorHAnsi"/>
          <w:sz w:val="22"/>
        </w:rPr>
        <w:t>Pzp</w:t>
      </w:r>
      <w:proofErr w:type="spellEnd"/>
      <w:r w:rsidR="00C277BD" w:rsidRPr="005625EE">
        <w:rPr>
          <w:rFonts w:asciiTheme="minorHAnsi" w:cstheme="minorHAnsi"/>
          <w:sz w:val="22"/>
        </w:rPr>
        <w:t>, do złożenia wyjaśnień odnośnie do wysokości zaoferowanej ceny</w:t>
      </w:r>
      <w:r w:rsidR="00C96FA9">
        <w:rPr>
          <w:rFonts w:asciiTheme="minorHAnsi" w:cstheme="minorHAnsi"/>
          <w:sz w:val="22"/>
        </w:rPr>
        <w:t xml:space="preserve"> we wskazanych pozycjach formularza ofertowego</w:t>
      </w:r>
      <w:r>
        <w:rPr>
          <w:rFonts w:asciiTheme="minorHAnsi" w:cstheme="minorHAnsi"/>
          <w:sz w:val="22"/>
        </w:rPr>
        <w:t>, tj. pozycji nr 2, 5, 30</w:t>
      </w:r>
      <w:r w:rsidR="00C277BD" w:rsidRPr="005625EE">
        <w:rPr>
          <w:rFonts w:asciiTheme="minorHAnsi" w:cstheme="minorHAnsi"/>
          <w:sz w:val="22"/>
        </w:rPr>
        <w:t>.</w:t>
      </w:r>
    </w:p>
    <w:p w:rsidR="00DF675B" w:rsidRDefault="00C277BD" w:rsidP="00364635">
      <w:pPr>
        <w:pStyle w:val="wzory-uzasadnienie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sz w:val="22"/>
        </w:rPr>
        <w:t>W odpowiedzi na wezwanie Zamawiającego</w:t>
      </w:r>
      <w:r w:rsidR="00190592">
        <w:rPr>
          <w:rFonts w:asciiTheme="minorHAnsi" w:cstheme="minorHAnsi"/>
          <w:sz w:val="22"/>
        </w:rPr>
        <w:t>,</w:t>
      </w:r>
      <w:r w:rsidRPr="005625EE">
        <w:rPr>
          <w:rFonts w:asciiTheme="minorHAnsi" w:cstheme="minorHAnsi"/>
          <w:sz w:val="22"/>
        </w:rPr>
        <w:t xml:space="preserve"> </w:t>
      </w:r>
      <w:r w:rsidR="00855715">
        <w:rPr>
          <w:rFonts w:asciiTheme="minorHAnsi" w:cstheme="minorHAnsi"/>
          <w:sz w:val="22"/>
        </w:rPr>
        <w:t>w dniu 9 lutego 2024 r.</w:t>
      </w:r>
      <w:r w:rsidR="00871FFF">
        <w:rPr>
          <w:rFonts w:asciiTheme="minorHAnsi" w:cstheme="minorHAnsi"/>
          <w:sz w:val="22"/>
        </w:rPr>
        <w:t>,</w:t>
      </w:r>
      <w:r w:rsidR="00855715">
        <w:rPr>
          <w:rFonts w:asciiTheme="minorHAnsi" w:cstheme="minorHAnsi"/>
          <w:sz w:val="22"/>
        </w:rPr>
        <w:t xml:space="preserve"> </w:t>
      </w:r>
      <w:r w:rsidRPr="005625EE">
        <w:rPr>
          <w:rFonts w:asciiTheme="minorHAnsi" w:cstheme="minorHAnsi"/>
          <w:sz w:val="22"/>
        </w:rPr>
        <w:t>Wykonawca złożył wyjaśnienia, jednak po ich analizie Zamawiający uznał, iż są one ogólnikowe i nie odnoszą się do meritum – obiektywnych czynników</w:t>
      </w:r>
      <w:r w:rsidR="00190592">
        <w:rPr>
          <w:rFonts w:asciiTheme="minorHAnsi" w:cstheme="minorHAnsi"/>
          <w:sz w:val="22"/>
        </w:rPr>
        <w:t xml:space="preserve"> wpływających na wysokość ceny. </w:t>
      </w:r>
      <w:proofErr w:type="spellStart"/>
      <w:r w:rsidR="002E1A71">
        <w:rPr>
          <w:rFonts w:asciiTheme="minorHAnsi" w:cstheme="minorHAnsi"/>
          <w:sz w:val="22"/>
        </w:rPr>
        <w:t>Symed</w:t>
      </w:r>
      <w:proofErr w:type="spellEnd"/>
      <w:r w:rsidR="002E1A71">
        <w:rPr>
          <w:rFonts w:asciiTheme="minorHAnsi" w:cstheme="minorHAnsi"/>
          <w:sz w:val="22"/>
        </w:rPr>
        <w:t xml:space="preserve"> s.c. </w:t>
      </w:r>
      <w:r w:rsidR="00190592">
        <w:rPr>
          <w:rFonts w:asciiTheme="minorHAnsi" w:cstheme="minorHAnsi"/>
          <w:sz w:val="22"/>
        </w:rPr>
        <w:t>nie przedstawił</w:t>
      </w:r>
      <w:r w:rsidR="000F1F21">
        <w:rPr>
          <w:rFonts w:asciiTheme="minorHAnsi" w:cstheme="minorHAnsi"/>
          <w:sz w:val="22"/>
        </w:rPr>
        <w:t xml:space="preserve"> dowodów</w:t>
      </w:r>
      <w:r w:rsidRPr="005625EE">
        <w:rPr>
          <w:rFonts w:asciiTheme="minorHAnsi" w:cstheme="minorHAnsi"/>
          <w:sz w:val="22"/>
        </w:rPr>
        <w:t>, pozwalających stwierdzić, że oceniana oferta zawiera cenę realną. W szczególności Wykonawca nie wykazał, co spowodowało możliwość obniżenia ceny, ani w jakim stopniu dzięki konkretnym c</w:t>
      </w:r>
      <w:r w:rsidR="00DF675B">
        <w:rPr>
          <w:rFonts w:asciiTheme="minorHAnsi" w:cstheme="minorHAnsi"/>
          <w:sz w:val="22"/>
        </w:rPr>
        <w:t>zynnikom cena została obniżona.</w:t>
      </w:r>
    </w:p>
    <w:p w:rsidR="00F11454" w:rsidRDefault="00A73BA6" w:rsidP="00364635">
      <w:pPr>
        <w:pStyle w:val="wzory-uzasadnienie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 xml:space="preserve">Ponadto brak jakichkolwiek dowodów wykonawca uzasadniał tajemnicą handlową, natomiast na podstawie </w:t>
      </w:r>
      <w:r w:rsidR="00DF675B">
        <w:rPr>
          <w:rFonts w:asciiTheme="minorHAnsi" w:cstheme="minorHAnsi"/>
          <w:sz w:val="22"/>
        </w:rPr>
        <w:t>obowiązującego orzecznictwa KIO</w:t>
      </w:r>
      <w:r w:rsidR="00574BE8">
        <w:rPr>
          <w:rFonts w:asciiTheme="minorHAnsi" w:cstheme="minorHAnsi"/>
          <w:sz w:val="22"/>
        </w:rPr>
        <w:t xml:space="preserve"> (</w:t>
      </w:r>
      <w:r w:rsidR="00574BE8" w:rsidRPr="00574BE8">
        <w:rPr>
          <w:rFonts w:asciiTheme="minorHAnsi" w:cstheme="minorHAnsi"/>
          <w:i/>
          <w:sz w:val="22"/>
        </w:rPr>
        <w:t>wyrok z dnia 1 września 2017 r., KIO/1632/17, KIO/1662/17</w:t>
      </w:r>
      <w:r w:rsidR="00574BE8" w:rsidRPr="00574BE8">
        <w:rPr>
          <w:rFonts w:asciiTheme="minorHAnsi" w:cstheme="minorHAnsi"/>
          <w:sz w:val="22"/>
        </w:rPr>
        <w:t>)</w:t>
      </w:r>
      <w:r w:rsidR="00DF675B">
        <w:rPr>
          <w:rFonts w:asciiTheme="minorHAnsi" w:cstheme="minorHAnsi"/>
          <w:sz w:val="22"/>
        </w:rPr>
        <w:t xml:space="preserve">: </w:t>
      </w:r>
      <w:r w:rsidR="00364F12">
        <w:rPr>
          <w:rFonts w:asciiTheme="minorHAnsi" w:cstheme="minorHAnsi"/>
          <w:sz w:val="22"/>
        </w:rPr>
        <w:t>„</w:t>
      </w:r>
      <w:r w:rsidR="00DF675B">
        <w:rPr>
          <w:rFonts w:asciiTheme="minorHAnsi" w:cstheme="minorHAnsi"/>
          <w:sz w:val="22"/>
        </w:rPr>
        <w:t>(…)</w:t>
      </w:r>
      <w:r w:rsidR="00051423" w:rsidRPr="00051423">
        <w:rPr>
          <w:rFonts w:asciiTheme="minorHAnsi" w:cstheme="minorHAnsi"/>
          <w:sz w:val="22"/>
        </w:rPr>
        <w:t xml:space="preserve"> faktury (tak jak </w:t>
      </w:r>
      <w:r w:rsidR="00364F12">
        <w:rPr>
          <w:rFonts w:asciiTheme="minorHAnsi" w:cstheme="minorHAnsi"/>
          <w:sz w:val="22"/>
        </w:rPr>
        <w:t xml:space="preserve">ww. dzienniki pracy) również są </w:t>
      </w:r>
      <w:r w:rsidR="00051423" w:rsidRPr="00051423">
        <w:rPr>
          <w:rFonts w:asciiTheme="minorHAnsi" w:cstheme="minorHAnsi"/>
          <w:sz w:val="22"/>
        </w:rPr>
        <w:t>dokumentami, do których ma dostęp nieograniczona ilość osób. W ich treści także nie</w:t>
      </w:r>
      <w:r w:rsidR="00574BE8">
        <w:rPr>
          <w:rFonts w:asciiTheme="minorHAnsi" w:cstheme="minorHAnsi"/>
          <w:sz w:val="22"/>
        </w:rPr>
        <w:t xml:space="preserve"> </w:t>
      </w:r>
      <w:r w:rsidR="00051423" w:rsidRPr="00051423">
        <w:rPr>
          <w:rFonts w:asciiTheme="minorHAnsi" w:cstheme="minorHAnsi"/>
          <w:sz w:val="22"/>
        </w:rPr>
        <w:t xml:space="preserve">wskazano, aby zostały objęte klauzulą </w:t>
      </w:r>
      <w:r w:rsidR="00051423" w:rsidRPr="00051423">
        <w:rPr>
          <w:rFonts w:asciiTheme="minorHAnsi" w:cstheme="minorHAnsi"/>
          <w:sz w:val="22"/>
        </w:rPr>
        <w:lastRenderedPageBreak/>
        <w:t>poufności. Zdanie</w:t>
      </w:r>
      <w:r w:rsidR="00574BE8">
        <w:rPr>
          <w:rFonts w:asciiTheme="minorHAnsi" w:cstheme="minorHAnsi"/>
          <w:sz w:val="22"/>
        </w:rPr>
        <w:t xml:space="preserve">m Izby, Wykonawcy winni wykazać </w:t>
      </w:r>
      <w:r w:rsidR="00051423" w:rsidRPr="00051423">
        <w:rPr>
          <w:rFonts w:asciiTheme="minorHAnsi" w:cstheme="minorHAnsi"/>
          <w:sz w:val="22"/>
        </w:rPr>
        <w:t>zastrzeżenie poszczególnych informacji, jeśli rzeczywiście miałyby one sta</w:t>
      </w:r>
      <w:r w:rsidR="00574BE8">
        <w:rPr>
          <w:rFonts w:asciiTheme="minorHAnsi" w:cstheme="minorHAnsi"/>
          <w:sz w:val="22"/>
        </w:rPr>
        <w:t xml:space="preserve">tus tajemnicy </w:t>
      </w:r>
      <w:r w:rsidR="00364F12">
        <w:rPr>
          <w:rFonts w:asciiTheme="minorHAnsi" w:cstheme="minorHAnsi"/>
          <w:sz w:val="22"/>
        </w:rPr>
        <w:t xml:space="preserve">przedsiębiorstwa. </w:t>
      </w:r>
      <w:r w:rsidR="00051423" w:rsidRPr="00051423">
        <w:rPr>
          <w:rFonts w:asciiTheme="minorHAnsi" w:cstheme="minorHAnsi"/>
          <w:sz w:val="22"/>
        </w:rPr>
        <w:t>Podkreślenia</w:t>
      </w:r>
      <w:r w:rsidR="00364F12">
        <w:rPr>
          <w:rFonts w:asciiTheme="minorHAnsi" w:cstheme="minorHAnsi"/>
          <w:sz w:val="22"/>
        </w:rPr>
        <w:t xml:space="preserve"> </w:t>
      </w:r>
      <w:r w:rsidR="00574BE8">
        <w:rPr>
          <w:rFonts w:asciiTheme="minorHAnsi" w:cstheme="minorHAnsi"/>
          <w:sz w:val="22"/>
        </w:rPr>
        <w:t xml:space="preserve">wymaga, że to nie </w:t>
      </w:r>
      <w:r w:rsidR="00051423" w:rsidRPr="00051423">
        <w:rPr>
          <w:rFonts w:asciiTheme="minorHAnsi" w:cstheme="minorHAnsi"/>
          <w:sz w:val="22"/>
        </w:rPr>
        <w:t xml:space="preserve">dany dokument podlega zastrzeżeniu jako </w:t>
      </w:r>
      <w:r w:rsidR="00364F12">
        <w:rPr>
          <w:rFonts w:asciiTheme="minorHAnsi" w:cstheme="minorHAnsi"/>
          <w:sz w:val="22"/>
        </w:rPr>
        <w:t xml:space="preserve">tajemnica przedsiębiorstwa, a </w:t>
      </w:r>
      <w:r w:rsidR="00051423" w:rsidRPr="00051423">
        <w:rPr>
          <w:rFonts w:asciiTheme="minorHAnsi" w:cstheme="minorHAnsi"/>
          <w:sz w:val="22"/>
        </w:rPr>
        <w:t xml:space="preserve">informacja </w:t>
      </w:r>
      <w:r w:rsidR="00574BE8">
        <w:rPr>
          <w:rFonts w:asciiTheme="minorHAnsi" w:cstheme="minorHAnsi"/>
          <w:sz w:val="22"/>
        </w:rPr>
        <w:t xml:space="preserve">jako taka. </w:t>
      </w:r>
      <w:r w:rsidR="00051423" w:rsidRPr="00051423">
        <w:rPr>
          <w:rFonts w:asciiTheme="minorHAnsi" w:cstheme="minorHAnsi"/>
          <w:sz w:val="22"/>
        </w:rPr>
        <w:t>Wykonawca zatem miał możliwość d</w:t>
      </w:r>
      <w:r w:rsidR="00364F12">
        <w:rPr>
          <w:rFonts w:asciiTheme="minorHAnsi" w:cstheme="minorHAnsi"/>
          <w:sz w:val="22"/>
        </w:rPr>
        <w:t xml:space="preserve">okonania zastrzeżenia tajemnicy </w:t>
      </w:r>
      <w:r w:rsidR="00574BE8">
        <w:rPr>
          <w:rFonts w:asciiTheme="minorHAnsi" w:cstheme="minorHAnsi"/>
          <w:sz w:val="22"/>
        </w:rPr>
        <w:t>przedsiębiorstwa w </w:t>
      </w:r>
      <w:r w:rsidR="00051423" w:rsidRPr="00051423">
        <w:rPr>
          <w:rFonts w:asciiTheme="minorHAnsi" w:cstheme="minorHAnsi"/>
          <w:sz w:val="22"/>
        </w:rPr>
        <w:t>odniesieniu do poszczególnych informacji zawartych w dokumencie, nie</w:t>
      </w:r>
      <w:r w:rsidR="00051423">
        <w:rPr>
          <w:rFonts w:asciiTheme="minorHAnsi" w:cstheme="minorHAnsi"/>
          <w:sz w:val="22"/>
        </w:rPr>
        <w:t xml:space="preserve"> </w:t>
      </w:r>
      <w:r w:rsidR="00051423" w:rsidRPr="00051423">
        <w:rPr>
          <w:rFonts w:asciiTheme="minorHAnsi" w:cstheme="minorHAnsi"/>
          <w:sz w:val="22"/>
        </w:rPr>
        <w:t>zaś całości dokumentów. Kwestią podstawową w niniejszej sp</w:t>
      </w:r>
      <w:r w:rsidR="00364F12">
        <w:rPr>
          <w:rFonts w:asciiTheme="minorHAnsi" w:cstheme="minorHAnsi"/>
          <w:sz w:val="22"/>
        </w:rPr>
        <w:t xml:space="preserve">rawie jest fakt, że ocena winna </w:t>
      </w:r>
      <w:r w:rsidR="00051423" w:rsidRPr="00051423">
        <w:rPr>
          <w:rFonts w:asciiTheme="minorHAnsi" w:cstheme="minorHAnsi"/>
          <w:sz w:val="22"/>
        </w:rPr>
        <w:t>dotyczyć każdej z zastrzeganej informacji. Wykonawc</w:t>
      </w:r>
      <w:r w:rsidR="005A703D">
        <w:rPr>
          <w:rFonts w:asciiTheme="minorHAnsi" w:cstheme="minorHAnsi"/>
          <w:sz w:val="22"/>
        </w:rPr>
        <w:t>a w </w:t>
      </w:r>
      <w:r w:rsidR="00364F12">
        <w:rPr>
          <w:rFonts w:asciiTheme="minorHAnsi" w:cstheme="minorHAnsi"/>
          <w:sz w:val="22"/>
        </w:rPr>
        <w:t xml:space="preserve">swoich wyjaśnieniach winien </w:t>
      </w:r>
      <w:r w:rsidR="00051423" w:rsidRPr="00051423">
        <w:rPr>
          <w:rFonts w:asciiTheme="minorHAnsi" w:cstheme="minorHAnsi"/>
          <w:sz w:val="22"/>
        </w:rPr>
        <w:t>odnieść się do każdego z dokumentów osobno i dla każd</w:t>
      </w:r>
      <w:r w:rsidR="005A703D">
        <w:rPr>
          <w:rFonts w:asciiTheme="minorHAnsi" w:cstheme="minorHAnsi"/>
          <w:sz w:val="22"/>
        </w:rPr>
        <w:t>ego z </w:t>
      </w:r>
      <w:r w:rsidR="00364F12">
        <w:rPr>
          <w:rFonts w:asciiTheme="minorHAnsi" w:cstheme="minorHAnsi"/>
          <w:sz w:val="22"/>
        </w:rPr>
        <w:t xml:space="preserve">dokumentów wykazać, które </w:t>
      </w:r>
      <w:r w:rsidR="00051423" w:rsidRPr="00051423">
        <w:rPr>
          <w:rFonts w:asciiTheme="minorHAnsi" w:cstheme="minorHAnsi"/>
          <w:sz w:val="22"/>
        </w:rPr>
        <w:t>z informacji zawartych w danym dokumencie mają chara</w:t>
      </w:r>
      <w:r w:rsidR="00364F12">
        <w:rPr>
          <w:rFonts w:asciiTheme="minorHAnsi" w:cstheme="minorHAnsi"/>
          <w:sz w:val="22"/>
        </w:rPr>
        <w:t xml:space="preserve">kter poufny. Tego wykonawca nie </w:t>
      </w:r>
      <w:r w:rsidR="00051423" w:rsidRPr="00051423">
        <w:rPr>
          <w:rFonts w:asciiTheme="minorHAnsi" w:cstheme="minorHAnsi"/>
          <w:sz w:val="22"/>
        </w:rPr>
        <w:t>uczynił. Trudno uznać za wiarygodne, aby np. cała f</w:t>
      </w:r>
      <w:r w:rsidR="00364F12">
        <w:rPr>
          <w:rFonts w:asciiTheme="minorHAnsi" w:cstheme="minorHAnsi"/>
          <w:sz w:val="22"/>
        </w:rPr>
        <w:t>aktura zawierała taką tajemnicę</w:t>
      </w:r>
      <w:r w:rsidR="005A703D">
        <w:rPr>
          <w:rFonts w:asciiTheme="minorHAnsi" w:cstheme="minorHAnsi"/>
          <w:sz w:val="22"/>
        </w:rPr>
        <w:t xml:space="preserve"> </w:t>
      </w:r>
      <w:r w:rsidR="00364F12">
        <w:rPr>
          <w:rFonts w:asciiTheme="minorHAnsi" w:cstheme="minorHAnsi"/>
          <w:sz w:val="22"/>
        </w:rPr>
        <w:t>(…)”.</w:t>
      </w:r>
    </w:p>
    <w:p w:rsidR="00051423" w:rsidRDefault="00236F74" w:rsidP="00364635">
      <w:pPr>
        <w:pStyle w:val="wzory-uzasadnienie"/>
        <w:jc w:val="both"/>
        <w:rPr>
          <w:rFonts w:asciiTheme="minorHAnsi" w:cstheme="minorHAnsi"/>
          <w:sz w:val="22"/>
        </w:rPr>
      </w:pPr>
      <w:r w:rsidRPr="00236F74">
        <w:rPr>
          <w:rFonts w:asciiTheme="minorHAnsi" w:cstheme="minorHAnsi"/>
          <w:sz w:val="22"/>
        </w:rPr>
        <w:t>Co do zasady treść faktur i potwierdzenia zapłaty nie stanowią tajemnicy przedsiębiorstwa (</w:t>
      </w:r>
      <w:r w:rsidRPr="005A703D">
        <w:rPr>
          <w:rFonts w:asciiTheme="minorHAnsi" w:cstheme="minorHAnsi"/>
          <w:i/>
          <w:sz w:val="22"/>
        </w:rPr>
        <w:t>wyroku Wojewódzkiego Sądu Administracyjnego w Warszawie z dnia 25 listopada 2015 r., II SA/</w:t>
      </w:r>
      <w:proofErr w:type="spellStart"/>
      <w:r w:rsidRPr="005A703D">
        <w:rPr>
          <w:rFonts w:asciiTheme="minorHAnsi" w:cstheme="minorHAnsi"/>
          <w:i/>
          <w:sz w:val="22"/>
        </w:rPr>
        <w:t>Wa</w:t>
      </w:r>
      <w:proofErr w:type="spellEnd"/>
      <w:r w:rsidRPr="005A703D">
        <w:rPr>
          <w:rFonts w:asciiTheme="minorHAnsi" w:cstheme="minorHAnsi"/>
          <w:i/>
          <w:sz w:val="22"/>
        </w:rPr>
        <w:t xml:space="preserve"> 1266/15</w:t>
      </w:r>
      <w:r w:rsidRPr="00236F74">
        <w:rPr>
          <w:rFonts w:asciiTheme="minorHAnsi" w:cstheme="minorHAnsi"/>
          <w:sz w:val="22"/>
        </w:rPr>
        <w:t>).</w:t>
      </w:r>
      <w:r w:rsidR="00A20C59">
        <w:rPr>
          <w:rFonts w:asciiTheme="minorHAnsi" w:cstheme="minorHAnsi"/>
          <w:sz w:val="22"/>
        </w:rPr>
        <w:t xml:space="preserve"> </w:t>
      </w:r>
      <w:r w:rsidR="00AE238F" w:rsidRPr="00AE238F">
        <w:rPr>
          <w:rFonts w:asciiTheme="minorHAnsi" w:cstheme="minorHAnsi"/>
          <w:sz w:val="22"/>
        </w:rPr>
        <w:t>To na wykonawcy, zastrzegającym taką informację, spoczywa obowiązek wykazania przesłanek skuteczności takiego zastrzeżenia.</w:t>
      </w:r>
      <w:r w:rsidR="00197AC4" w:rsidRPr="00197AC4">
        <w:rPr>
          <w:rFonts w:asciiTheme="minorHAnsi" w:eastAsiaTheme="minorHAnsi"/>
          <w:color w:val="auto"/>
          <w:sz w:val="22"/>
          <w:lang w:eastAsia="en-US"/>
        </w:rPr>
        <w:t xml:space="preserve"> </w:t>
      </w:r>
      <w:r w:rsidR="00197AC4" w:rsidRPr="00197AC4">
        <w:rPr>
          <w:rFonts w:asciiTheme="minorHAnsi" w:cstheme="minorHAnsi"/>
          <w:sz w:val="22"/>
        </w:rPr>
        <w:t>Ustawodawca pozostawił wykonawcy dowolność w doborze środków służących wykazaniu, że zastrzeżona informacja stanowi tajemnicę przedsiębiorstwa.</w:t>
      </w:r>
      <w:r w:rsidR="00197AC4" w:rsidRPr="00197AC4">
        <w:rPr>
          <w:rFonts w:asciiTheme="minorHAnsi" w:eastAsiaTheme="minorHAnsi"/>
          <w:color w:val="auto"/>
          <w:sz w:val="22"/>
          <w:lang w:eastAsia="en-US"/>
        </w:rPr>
        <w:t xml:space="preserve"> </w:t>
      </w:r>
      <w:r w:rsidR="00A20C59">
        <w:rPr>
          <w:rFonts w:asciiTheme="minorHAnsi" w:cstheme="minorHAnsi"/>
          <w:sz w:val="22"/>
        </w:rPr>
        <w:t>W</w:t>
      </w:r>
      <w:r w:rsidR="00197AC4" w:rsidRPr="00197AC4">
        <w:rPr>
          <w:rFonts w:asciiTheme="minorHAnsi" w:cstheme="minorHAnsi"/>
          <w:sz w:val="22"/>
        </w:rPr>
        <w:t>ykonawca powinien przedłożyć określone dowody, nie zaś ograniczyć się do samego zastrzeżenia określonych informacji j</w:t>
      </w:r>
      <w:r w:rsidR="00F11454">
        <w:rPr>
          <w:rFonts w:asciiTheme="minorHAnsi" w:cstheme="minorHAnsi"/>
          <w:sz w:val="22"/>
        </w:rPr>
        <w:t>ako tajemnicy przedsiębiorstwa. Podjęcie niezbędnych działań w celu zachowania poufności informacji powinno prowadzić do sytuacji, w której chroniona informacja nie może dotrzeć do wiadomości osó</w:t>
      </w:r>
      <w:r w:rsidR="005A703D">
        <w:rPr>
          <w:rFonts w:asciiTheme="minorHAnsi" w:cstheme="minorHAnsi"/>
          <w:sz w:val="22"/>
        </w:rPr>
        <w:t>b trzecich w </w:t>
      </w:r>
      <w:r w:rsidR="00F11454">
        <w:rPr>
          <w:rFonts w:asciiTheme="minorHAnsi" w:cstheme="minorHAnsi"/>
          <w:sz w:val="22"/>
        </w:rPr>
        <w:t>normalnym toku zdarzeń, bez żadnych specjalnych starań z ich strony (</w:t>
      </w:r>
      <w:r w:rsidR="00F11454" w:rsidRPr="005A703D">
        <w:rPr>
          <w:rFonts w:asciiTheme="minorHAnsi" w:cstheme="minorHAnsi"/>
          <w:i/>
          <w:sz w:val="22"/>
        </w:rPr>
        <w:t>wyrok Sądu Najwyższego z dnia 5 września 2002 r., sygn. akt: I CKN 1159/00</w:t>
      </w:r>
      <w:r w:rsidR="00F11454">
        <w:rPr>
          <w:rFonts w:asciiTheme="minorHAnsi" w:cstheme="minorHAnsi"/>
          <w:sz w:val="22"/>
        </w:rPr>
        <w:t xml:space="preserve">). </w:t>
      </w:r>
      <w:r w:rsidR="00197AC4" w:rsidRPr="00197AC4">
        <w:rPr>
          <w:rFonts w:asciiTheme="minorHAnsi" w:cstheme="minorHAnsi"/>
          <w:sz w:val="22"/>
        </w:rPr>
        <w:t>Wykazanie przez wykonawcę, że zastrzegane informacje posiadają walor tajemnicy przedsiębiorstwa, powinno polegać na złożeniu dowodów mających postać np. oświadczenia uzasadniającego, dlaczego określone informacje mają przymiot tajemnicy przedsiębiorstwa, np. wyciągu z umów z kontrahentami zawierających postanowienia o zachowaniu określonych okoliczności w poufności.</w:t>
      </w:r>
      <w:r w:rsidR="000E72FC">
        <w:rPr>
          <w:rFonts w:asciiTheme="minorHAnsi" w:cstheme="minorHAnsi"/>
          <w:sz w:val="22"/>
        </w:rPr>
        <w:t xml:space="preserve"> </w:t>
      </w:r>
      <w:r w:rsidR="006E4DFB" w:rsidRPr="006E4DFB">
        <w:rPr>
          <w:rFonts w:asciiTheme="minorHAnsi" w:cstheme="minorHAnsi"/>
          <w:sz w:val="22"/>
        </w:rPr>
        <w:t>Wykonawca powinien wskazać konkretne okoliczności, czy chociażby działania które zostały podjęte przez</w:t>
      </w:r>
      <w:r w:rsidR="000E72FC">
        <w:rPr>
          <w:rFonts w:asciiTheme="minorHAnsi" w:cstheme="minorHAnsi"/>
          <w:sz w:val="22"/>
        </w:rPr>
        <w:t xml:space="preserve"> niego</w:t>
      </w:r>
      <w:r w:rsidR="006E4DFB" w:rsidRPr="006E4DFB">
        <w:rPr>
          <w:rFonts w:asciiTheme="minorHAnsi" w:cstheme="minorHAnsi"/>
          <w:sz w:val="22"/>
        </w:rPr>
        <w:t>, tj. np. wykazanie się wewnętrznymi regulaminami, wskazującymi iż zastrzeżona informacja nie może zostać w żaden sposób upubliczniona (</w:t>
      </w:r>
      <w:r w:rsidR="006E4DFB" w:rsidRPr="005A703D">
        <w:rPr>
          <w:rFonts w:asciiTheme="minorHAnsi" w:cstheme="minorHAnsi"/>
          <w:i/>
          <w:sz w:val="22"/>
        </w:rPr>
        <w:t>wyrok z dnia 23 kwietnia 2010 r., KIO/UZP 528/10</w:t>
      </w:r>
      <w:r w:rsidR="006E4DFB" w:rsidRPr="006E4DFB">
        <w:rPr>
          <w:rFonts w:asciiTheme="minorHAnsi" w:cstheme="minorHAnsi"/>
          <w:sz w:val="22"/>
        </w:rPr>
        <w:t xml:space="preserve">). </w:t>
      </w:r>
    </w:p>
    <w:p w:rsidR="00C277BD" w:rsidRPr="005625EE" w:rsidRDefault="006D5B80" w:rsidP="00364635">
      <w:pPr>
        <w:pStyle w:val="wzory-uzasadnienie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>D</w:t>
      </w:r>
      <w:r w:rsidR="00C277BD" w:rsidRPr="005625EE">
        <w:rPr>
          <w:rFonts w:asciiTheme="minorHAnsi" w:cstheme="minorHAnsi"/>
          <w:sz w:val="22"/>
        </w:rPr>
        <w:t>la zakwalifikowania oferty do dalszego postępowania nie jest wystarczające złożenie jakichkolwiek wyjaśnień, lecz wyjaśnień odpowiednio umotywowanych, przekonujących, że zaproponowana oferta nie zawiera rażąco niskiej cen</w:t>
      </w:r>
      <w:r w:rsidR="007D7495">
        <w:rPr>
          <w:rFonts w:asciiTheme="minorHAnsi" w:cstheme="minorHAnsi"/>
          <w:sz w:val="22"/>
        </w:rPr>
        <w:t>y. Natomiast zdawkowe, ogólne i </w:t>
      </w:r>
      <w:r w:rsidR="00C277BD" w:rsidRPr="005625EE">
        <w:rPr>
          <w:rFonts w:asciiTheme="minorHAnsi" w:cstheme="minorHAnsi"/>
          <w:sz w:val="22"/>
        </w:rPr>
        <w:t>uniwersalnej natury wyjaśnienia potwierdzają, że ofe</w:t>
      </w:r>
      <w:r w:rsidR="002E1A71">
        <w:rPr>
          <w:rFonts w:asciiTheme="minorHAnsi" w:cstheme="minorHAnsi"/>
          <w:sz w:val="22"/>
        </w:rPr>
        <w:t>rta zawiera rażąco niską cenę w </w:t>
      </w:r>
      <w:r w:rsidR="00C277BD" w:rsidRPr="005625EE">
        <w:rPr>
          <w:rFonts w:asciiTheme="minorHAnsi" w:cstheme="minorHAnsi"/>
          <w:sz w:val="22"/>
        </w:rPr>
        <w:t>stosunku do przedmiotu zamówienia, co obliguje Zamawiającego do odrzucenia oferty. Wykonawca nie obalił domniemania rażąco niskiej ceny</w:t>
      </w:r>
      <w:r w:rsidR="002E1A71">
        <w:rPr>
          <w:rFonts w:asciiTheme="minorHAnsi" w:cstheme="minorHAnsi"/>
          <w:sz w:val="22"/>
        </w:rPr>
        <w:t xml:space="preserve"> w istotnych częściach składowych oferty</w:t>
      </w:r>
      <w:r w:rsidR="00C277BD" w:rsidRPr="005625EE">
        <w:rPr>
          <w:rFonts w:asciiTheme="minorHAnsi" w:cstheme="minorHAnsi"/>
          <w:sz w:val="22"/>
        </w:rPr>
        <w:t>.</w:t>
      </w:r>
    </w:p>
    <w:p w:rsidR="000F1F21" w:rsidRDefault="00C277BD" w:rsidP="00364635">
      <w:pPr>
        <w:pStyle w:val="wzory-uzasadnienie"/>
        <w:jc w:val="both"/>
        <w:rPr>
          <w:rFonts w:asciiTheme="minorHAnsi" w:cstheme="minorHAnsi"/>
          <w:sz w:val="22"/>
        </w:rPr>
      </w:pPr>
      <w:r w:rsidRPr="005625EE">
        <w:rPr>
          <w:rFonts w:asciiTheme="minorHAnsi" w:cstheme="minorHAnsi"/>
          <w:sz w:val="22"/>
        </w:rPr>
        <w:t xml:space="preserve">Ponadto, Zamawiający informuje, iż od powyższej decyzji przysługują Wykonawcom środki ochrony prawnej, o których mowa w Dziale IX </w:t>
      </w:r>
      <w:proofErr w:type="spellStart"/>
      <w:r w:rsidR="00D268E5">
        <w:rPr>
          <w:rFonts w:asciiTheme="minorHAnsi" w:cstheme="minorHAnsi"/>
          <w:sz w:val="22"/>
        </w:rPr>
        <w:t>Pzp</w:t>
      </w:r>
      <w:proofErr w:type="spellEnd"/>
      <w:r w:rsidRPr="005625EE">
        <w:rPr>
          <w:rFonts w:asciiTheme="minorHAnsi" w:cstheme="minorHAnsi"/>
          <w:sz w:val="22"/>
        </w:rPr>
        <w:t>.</w:t>
      </w:r>
    </w:p>
    <w:p w:rsidR="00856F15" w:rsidRPr="00364635" w:rsidRDefault="00856F15" w:rsidP="00364635">
      <w:pPr>
        <w:pStyle w:val="wzory-uzasadnienie"/>
        <w:jc w:val="both"/>
        <w:rPr>
          <w:rFonts w:asciiTheme="minorHAnsi" w:cstheme="minorHAnsi"/>
          <w:sz w:val="22"/>
        </w:rPr>
      </w:pPr>
    </w:p>
    <w:p w:rsidR="001A72F7" w:rsidRPr="001A72F7" w:rsidRDefault="000D4847" w:rsidP="00364635">
      <w:pPr>
        <w:pStyle w:val="wzory-tytul-2"/>
        <w:jc w:val="center"/>
        <w:rPr>
          <w:rFonts w:asciiTheme="minorHAnsi" w:cstheme="minorHAnsi"/>
          <w:b/>
          <w:sz w:val="22"/>
        </w:rPr>
      </w:pPr>
      <w:r>
        <w:rPr>
          <w:rFonts w:asciiTheme="minorHAnsi" w:cstheme="minorHAnsi"/>
          <w:b/>
          <w:sz w:val="22"/>
        </w:rPr>
        <w:t xml:space="preserve">Zawiadomienie </w:t>
      </w:r>
      <w:r w:rsidR="00A87BE5">
        <w:rPr>
          <w:rFonts w:asciiTheme="minorHAnsi" w:cstheme="minorHAnsi"/>
          <w:b/>
          <w:sz w:val="22"/>
        </w:rPr>
        <w:t xml:space="preserve">o </w:t>
      </w:r>
      <w:r w:rsidR="00937B3E" w:rsidRPr="005625EE">
        <w:rPr>
          <w:rFonts w:asciiTheme="minorHAnsi" w:cstheme="minorHAnsi"/>
          <w:b/>
          <w:sz w:val="22"/>
        </w:rPr>
        <w:t>uniew</w:t>
      </w:r>
      <w:r w:rsidR="00856F15">
        <w:rPr>
          <w:rFonts w:asciiTheme="minorHAnsi" w:cstheme="minorHAnsi"/>
          <w:b/>
          <w:sz w:val="22"/>
        </w:rPr>
        <w:t>ażnieniu postępowania w części 2</w:t>
      </w:r>
    </w:p>
    <w:p w:rsidR="009F038A" w:rsidRPr="008F0E43" w:rsidRDefault="001A72F7" w:rsidP="00364635">
      <w:pPr>
        <w:tabs>
          <w:tab w:val="left" w:pos="1309"/>
        </w:tabs>
        <w:spacing w:after="0" w:line="276" w:lineRule="auto"/>
        <w:jc w:val="both"/>
        <w:rPr>
          <w:rFonts w:cstheme="minorHAnsi"/>
          <w:color w:val="000000"/>
        </w:rPr>
      </w:pPr>
      <w:r w:rsidRPr="008F0E43">
        <w:rPr>
          <w:rFonts w:cstheme="minorHAnsi"/>
          <w:color w:val="000000"/>
        </w:rPr>
        <w:t>Zamawiający, działając na podstawie art. 260 ust. 1 i 2 ustawy Prawo zamówień publicznych</w:t>
      </w:r>
      <w:r w:rsidR="007D3F54">
        <w:rPr>
          <w:rFonts w:cstheme="minorHAnsi"/>
          <w:color w:val="000000"/>
        </w:rPr>
        <w:t xml:space="preserve"> </w:t>
      </w:r>
      <w:r w:rsidRPr="008F0E43">
        <w:rPr>
          <w:rFonts w:cstheme="minorHAnsi"/>
          <w:color w:val="000000"/>
        </w:rPr>
        <w:t>informuje, że ww. postępowanie o udzielenie zamówienia publ</w:t>
      </w:r>
      <w:r w:rsidR="007D3F54">
        <w:rPr>
          <w:rFonts w:cstheme="minorHAnsi"/>
          <w:color w:val="000000"/>
        </w:rPr>
        <w:t>icznego podlega unieważnieniu w </w:t>
      </w:r>
      <w:r w:rsidRPr="008F0E43">
        <w:rPr>
          <w:rFonts w:cstheme="minorHAnsi"/>
          <w:color w:val="000000"/>
        </w:rPr>
        <w:t>następującym zakresie</w:t>
      </w:r>
      <w:r w:rsidR="00BC2F4A">
        <w:rPr>
          <w:rFonts w:cstheme="minorHAnsi"/>
          <w:color w:val="000000"/>
        </w:rPr>
        <w:t xml:space="preserve"> – części 2 postępowania nr Ds.1/2024.</w:t>
      </w:r>
      <w:bookmarkStart w:id="0" w:name="_GoBack"/>
      <w:bookmarkEnd w:id="0"/>
    </w:p>
    <w:p w:rsidR="009B6908" w:rsidRPr="008F0E43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</w:p>
    <w:p w:rsidR="009B6908" w:rsidRPr="008F0E43" w:rsidRDefault="004838B7" w:rsidP="004838B7">
      <w:pPr>
        <w:tabs>
          <w:tab w:val="left" w:pos="1309"/>
        </w:tabs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Uzasadnienie faktyczne</w:t>
      </w:r>
    </w:p>
    <w:p w:rsidR="009B6908" w:rsidRPr="008F0E43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  <w:r w:rsidRPr="008F0E43">
        <w:rPr>
          <w:rFonts w:eastAsia="Calibri" w:cstheme="minorHAnsi"/>
        </w:rPr>
        <w:t xml:space="preserve">W dniu </w:t>
      </w:r>
      <w:r w:rsidR="00250CC6">
        <w:rPr>
          <w:rFonts w:eastAsia="Calibri" w:cstheme="minorHAnsi"/>
        </w:rPr>
        <w:t>2 lutego 2024</w:t>
      </w:r>
      <w:r w:rsidR="008F0E43" w:rsidRPr="008F0E43">
        <w:rPr>
          <w:rFonts w:eastAsia="Calibri" w:cstheme="minorHAnsi"/>
        </w:rPr>
        <w:t xml:space="preserve"> r.</w:t>
      </w:r>
      <w:r w:rsidRPr="008F0E43">
        <w:rPr>
          <w:rFonts w:eastAsia="Calibri" w:cstheme="minorHAnsi"/>
        </w:rPr>
        <w:t xml:space="preserve"> przed otwarciem ofert</w:t>
      </w:r>
      <w:r w:rsidR="00250CC6">
        <w:rPr>
          <w:rFonts w:eastAsia="Calibri" w:cstheme="minorHAnsi"/>
        </w:rPr>
        <w:t xml:space="preserve"> o godz. 9:30</w:t>
      </w:r>
      <w:r w:rsidRPr="008F0E43">
        <w:rPr>
          <w:rFonts w:eastAsia="Calibri" w:cstheme="minorHAnsi"/>
        </w:rPr>
        <w:t>, Z</w:t>
      </w:r>
      <w:r w:rsidR="008F0E43" w:rsidRPr="008F0E43">
        <w:rPr>
          <w:rFonts w:eastAsia="Calibri" w:cstheme="minorHAnsi"/>
        </w:rPr>
        <w:t xml:space="preserve">amawiający zamieścił na stronie </w:t>
      </w:r>
      <w:r w:rsidRPr="008F0E43">
        <w:rPr>
          <w:rFonts w:eastAsia="Calibri" w:cstheme="minorHAnsi"/>
        </w:rPr>
        <w:t>internetowej</w:t>
      </w:r>
      <w:r w:rsidR="008F0E43" w:rsidRPr="008F0E43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prowadzonego postepowania informację o kwocie przeznaczonej na sfinansowanie niniejszego</w:t>
      </w:r>
      <w:r w:rsidR="008F0E43" w:rsidRPr="008F0E43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zamówienia w wysokości</w:t>
      </w:r>
      <w:r w:rsidR="00250CC6">
        <w:rPr>
          <w:rFonts w:cstheme="minorHAnsi"/>
        </w:rPr>
        <w:t xml:space="preserve"> 391 367,81 </w:t>
      </w:r>
      <w:r w:rsidR="008F0E43" w:rsidRPr="008F0E43">
        <w:rPr>
          <w:rFonts w:cstheme="minorHAnsi"/>
        </w:rPr>
        <w:t>zł, w tym</w:t>
      </w:r>
      <w:r w:rsidR="00250CC6">
        <w:rPr>
          <w:rFonts w:cstheme="minorHAnsi"/>
        </w:rPr>
        <w:t xml:space="preserve"> w</w:t>
      </w:r>
      <w:r w:rsidR="008F0E43" w:rsidRPr="008F0E43">
        <w:rPr>
          <w:rFonts w:cstheme="minorHAnsi"/>
        </w:rPr>
        <w:t xml:space="preserve"> </w:t>
      </w:r>
      <w:r w:rsidR="00250CC6">
        <w:rPr>
          <w:rFonts w:cstheme="minorHAnsi"/>
          <w:b/>
        </w:rPr>
        <w:t xml:space="preserve">części 2 - </w:t>
      </w:r>
      <w:r w:rsidR="00250CC6" w:rsidRPr="00250CC6">
        <w:rPr>
          <w:rFonts w:cstheme="minorHAnsi"/>
          <w:b/>
        </w:rPr>
        <w:t>34 850,05 zł</w:t>
      </w:r>
      <w:r w:rsidR="008F0E43" w:rsidRPr="008F0E43">
        <w:rPr>
          <w:rFonts w:cstheme="minorHAnsi"/>
        </w:rPr>
        <w:t xml:space="preserve">. </w:t>
      </w:r>
    </w:p>
    <w:p w:rsidR="009B6908" w:rsidRPr="008F0E43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  <w:r w:rsidRPr="008F0E43">
        <w:rPr>
          <w:rFonts w:eastAsia="Calibri" w:cstheme="minorHAnsi"/>
        </w:rPr>
        <w:t>W n</w:t>
      </w:r>
      <w:r w:rsidR="00250CC6">
        <w:rPr>
          <w:rFonts w:eastAsia="Calibri" w:cstheme="minorHAnsi"/>
        </w:rPr>
        <w:t>iniejszej części 2</w:t>
      </w:r>
      <w:r w:rsidR="008F0E43" w:rsidRPr="008F0E43">
        <w:rPr>
          <w:rFonts w:eastAsia="Calibri" w:cstheme="minorHAnsi"/>
        </w:rPr>
        <w:t xml:space="preserve"> </w:t>
      </w:r>
      <w:r w:rsidR="00006244">
        <w:rPr>
          <w:rFonts w:eastAsia="Calibri" w:cstheme="minorHAnsi"/>
        </w:rPr>
        <w:t>postę</w:t>
      </w:r>
      <w:r w:rsidR="008F0E43" w:rsidRPr="008F0E43">
        <w:rPr>
          <w:rFonts w:eastAsia="Calibri" w:cstheme="minorHAnsi"/>
        </w:rPr>
        <w:t xml:space="preserve">powania złożono </w:t>
      </w:r>
      <w:r w:rsidR="00250CC6">
        <w:rPr>
          <w:rFonts w:eastAsia="Calibri" w:cstheme="minorHAnsi"/>
        </w:rPr>
        <w:t>2</w:t>
      </w:r>
      <w:r w:rsidRPr="008F0E43">
        <w:rPr>
          <w:rFonts w:eastAsia="Calibri" w:cstheme="minorHAnsi"/>
        </w:rPr>
        <w:t xml:space="preserve"> oferty:</w:t>
      </w:r>
    </w:p>
    <w:p w:rsidR="008F0E43" w:rsidRPr="008F0E43" w:rsidRDefault="008F0E43" w:rsidP="00364635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F0E43">
        <w:rPr>
          <w:rFonts w:cstheme="minorHAnsi"/>
        </w:rPr>
        <w:t>Oferta nr 1</w:t>
      </w:r>
    </w:p>
    <w:p w:rsidR="008F0E43" w:rsidRPr="008F0E43" w:rsidRDefault="00CA32A5" w:rsidP="0036463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nazwa Wykonawcy: </w:t>
      </w:r>
      <w:proofErr w:type="spellStart"/>
      <w:r w:rsidRPr="00CA32A5">
        <w:rPr>
          <w:rFonts w:ascii="Calibri" w:eastAsia="Calibri" w:hAnsi="Calibri" w:cs="Calibri"/>
        </w:rPr>
        <w:t>Symed</w:t>
      </w:r>
      <w:proofErr w:type="spellEnd"/>
      <w:r w:rsidRPr="00CA32A5">
        <w:rPr>
          <w:rFonts w:ascii="Calibri" w:eastAsia="Calibri" w:hAnsi="Calibri" w:cs="Calibri"/>
        </w:rPr>
        <w:t xml:space="preserve"> s.c., ul. Kosynierów 7, 35-242 Rzeszów</w:t>
      </w:r>
      <w:r w:rsidR="008F0E43" w:rsidRPr="008F0E43">
        <w:rPr>
          <w:rFonts w:cstheme="minorHAnsi"/>
        </w:rPr>
        <w:t>;</w:t>
      </w:r>
    </w:p>
    <w:p w:rsidR="008F0E43" w:rsidRPr="008F0E43" w:rsidRDefault="008F0E43" w:rsidP="00364635">
      <w:pPr>
        <w:pStyle w:val="Bezodstpw"/>
        <w:spacing w:line="276" w:lineRule="auto"/>
        <w:jc w:val="both"/>
        <w:rPr>
          <w:rFonts w:cstheme="minorHAnsi"/>
        </w:rPr>
      </w:pPr>
      <w:r w:rsidRPr="008F0E43">
        <w:rPr>
          <w:rFonts w:cstheme="minorHAnsi"/>
        </w:rPr>
        <w:t>- cena</w:t>
      </w:r>
      <w:r w:rsidR="00CA32A5">
        <w:rPr>
          <w:rFonts w:cstheme="minorHAnsi"/>
        </w:rPr>
        <w:t xml:space="preserve"> oferty: </w:t>
      </w:r>
      <w:r w:rsidR="00CA32A5" w:rsidRPr="00CA32A5">
        <w:rPr>
          <w:rFonts w:ascii="Calibri" w:eastAsia="Calibri" w:hAnsi="Calibri" w:cs="Calibri"/>
        </w:rPr>
        <w:t>27 704,45 zł</w:t>
      </w:r>
    </w:p>
    <w:p w:rsidR="008F0E43" w:rsidRPr="008F0E43" w:rsidRDefault="008F0E43" w:rsidP="00364635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F0E43">
        <w:rPr>
          <w:rFonts w:cstheme="minorHAnsi"/>
        </w:rPr>
        <w:t>Oferta nr 2:</w:t>
      </w:r>
    </w:p>
    <w:p w:rsidR="008F0E43" w:rsidRPr="008F0E43" w:rsidRDefault="008F0E43" w:rsidP="00364635">
      <w:pPr>
        <w:pStyle w:val="Bezodstpw"/>
        <w:spacing w:line="276" w:lineRule="auto"/>
        <w:jc w:val="both"/>
        <w:rPr>
          <w:rFonts w:cstheme="minorHAnsi"/>
        </w:rPr>
      </w:pPr>
      <w:r w:rsidRPr="008F0E43">
        <w:rPr>
          <w:rFonts w:cstheme="minorHAnsi"/>
        </w:rPr>
        <w:t>- nazwa Wykonawcy:</w:t>
      </w:r>
      <w:r w:rsidR="00CA32A5" w:rsidRPr="00CA32A5">
        <w:rPr>
          <w:rFonts w:ascii="Calibri" w:eastAsia="Calibri" w:hAnsi="Calibri" w:cs="Calibri"/>
        </w:rPr>
        <w:t xml:space="preserve"> Zarys International </w:t>
      </w:r>
      <w:proofErr w:type="spellStart"/>
      <w:r w:rsidR="00CA32A5" w:rsidRPr="00CA32A5">
        <w:rPr>
          <w:rFonts w:ascii="Calibri" w:eastAsia="Calibri" w:hAnsi="Calibri" w:cs="Calibri"/>
        </w:rPr>
        <w:t>Group</w:t>
      </w:r>
      <w:proofErr w:type="spellEnd"/>
      <w:r w:rsidR="00CA32A5" w:rsidRPr="00CA32A5">
        <w:rPr>
          <w:rFonts w:ascii="Calibri" w:eastAsia="Calibri" w:hAnsi="Calibri" w:cs="Calibri"/>
        </w:rPr>
        <w:t xml:space="preserve"> Sp. z o.o. Sp. k., ul. Pod Borem 18, 41-808 Zabrze</w:t>
      </w:r>
      <w:r w:rsidRPr="008F0E43">
        <w:rPr>
          <w:rFonts w:cstheme="minorHAnsi"/>
        </w:rPr>
        <w:t>;</w:t>
      </w:r>
    </w:p>
    <w:p w:rsidR="008F0E43" w:rsidRDefault="00CA32A5" w:rsidP="0036463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 cena oferty</w:t>
      </w:r>
      <w:r w:rsidR="008F0E43" w:rsidRPr="008F0E43">
        <w:rPr>
          <w:rFonts w:cstheme="minorHAnsi"/>
        </w:rPr>
        <w:t xml:space="preserve">: </w:t>
      </w:r>
      <w:r w:rsidRPr="00CA32A5">
        <w:rPr>
          <w:rFonts w:cstheme="minorHAnsi"/>
        </w:rPr>
        <w:t>36 354,41 zł</w:t>
      </w:r>
    </w:p>
    <w:p w:rsidR="003E7E53" w:rsidRPr="003E7E53" w:rsidRDefault="003E7E53" w:rsidP="00364635">
      <w:pPr>
        <w:pStyle w:val="Bezodstpw"/>
        <w:spacing w:line="276" w:lineRule="auto"/>
        <w:jc w:val="both"/>
        <w:rPr>
          <w:rFonts w:cs="Calibri"/>
        </w:rPr>
      </w:pPr>
    </w:p>
    <w:p w:rsidR="006D5B80" w:rsidRPr="006D5B80" w:rsidRDefault="00CA32A5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Oferta Nr 1</w:t>
      </w:r>
      <w:r w:rsidR="00922CE9">
        <w:rPr>
          <w:rFonts w:eastAsia="Calibri" w:cstheme="minorHAnsi"/>
        </w:rPr>
        <w:t xml:space="preserve"> podlega odrzuceniu.</w:t>
      </w:r>
      <w:r w:rsidR="006D5B80">
        <w:rPr>
          <w:rFonts w:eastAsia="Calibri" w:cstheme="minorHAnsi"/>
        </w:rPr>
        <w:t xml:space="preserve"> </w:t>
      </w:r>
      <w:r w:rsidR="009B6908" w:rsidRPr="008F0E43">
        <w:rPr>
          <w:rFonts w:eastAsia="Calibri" w:cstheme="minorHAnsi"/>
        </w:rPr>
        <w:t xml:space="preserve">Mając na uwadze zaistniałą sytuację, Zamawiający unieważnia </w:t>
      </w:r>
      <w:r>
        <w:rPr>
          <w:rFonts w:eastAsia="Calibri" w:cstheme="minorHAnsi"/>
        </w:rPr>
        <w:t>część 2</w:t>
      </w:r>
      <w:r w:rsidR="008F0E43" w:rsidRPr="008F0E43">
        <w:rPr>
          <w:rFonts w:eastAsia="Calibri" w:cstheme="minorHAnsi"/>
        </w:rPr>
        <w:t xml:space="preserve"> postępowania, ponieważ oferta</w:t>
      </w:r>
      <w:r w:rsidR="008F0E43">
        <w:rPr>
          <w:rFonts w:eastAsia="Calibri" w:cstheme="minorHAnsi"/>
        </w:rPr>
        <w:t xml:space="preserve"> </w:t>
      </w:r>
      <w:r w:rsidR="009B6908" w:rsidRPr="008F0E43">
        <w:rPr>
          <w:rFonts w:eastAsia="Calibri" w:cstheme="minorHAnsi"/>
        </w:rPr>
        <w:t>z najniższą ceną przewyższa kwotę, którą Zamawiający zamierza przeznaczyć na sfinansowanie</w:t>
      </w:r>
      <w:r w:rsidR="008F0E43">
        <w:rPr>
          <w:rFonts w:eastAsia="Calibri" w:cstheme="minorHAnsi"/>
        </w:rPr>
        <w:t xml:space="preserve"> </w:t>
      </w:r>
      <w:r w:rsidR="008F0E43" w:rsidRPr="008F0E43">
        <w:rPr>
          <w:rFonts w:eastAsia="Calibri" w:cstheme="minorHAnsi"/>
        </w:rPr>
        <w:t xml:space="preserve">zamówienia. </w:t>
      </w:r>
      <w:r w:rsidR="006D5B80" w:rsidRPr="006D5B80">
        <w:rPr>
          <w:rFonts w:eastAsia="Calibri" w:cstheme="minorHAnsi"/>
        </w:rPr>
        <w:t>Zamawiający po analizie swoich możliwości finansowych stwierdził, iż nie jest możliwe zwiększenie kwoty przeznaczonej na realizację przedmiotowego zamówienia do ceny oferty.</w:t>
      </w:r>
    </w:p>
    <w:p w:rsidR="00A22498" w:rsidRDefault="00A2249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</w:p>
    <w:p w:rsidR="009B6908" w:rsidRPr="008F0E43" w:rsidRDefault="004838B7" w:rsidP="004838B7">
      <w:pPr>
        <w:tabs>
          <w:tab w:val="left" w:pos="1309"/>
        </w:tabs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Uzasadnienie prawne</w:t>
      </w:r>
    </w:p>
    <w:p w:rsidR="009B6908" w:rsidRPr="008F0E43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  <w:r w:rsidRPr="008F0E43">
        <w:rPr>
          <w:rFonts w:eastAsia="Calibri" w:cstheme="minorHAnsi"/>
        </w:rPr>
        <w:t xml:space="preserve">Pozstępowanie zostało unieważnione na podstawie art. 255 pkt 3 ustawy </w:t>
      </w:r>
      <w:proofErr w:type="spellStart"/>
      <w:r w:rsidRPr="008F0E43">
        <w:rPr>
          <w:rFonts w:eastAsia="Calibri" w:cstheme="minorHAnsi"/>
        </w:rPr>
        <w:t>Pzp</w:t>
      </w:r>
      <w:proofErr w:type="spellEnd"/>
      <w:r w:rsidRPr="008F0E43">
        <w:rPr>
          <w:rFonts w:eastAsia="Calibri" w:cstheme="minorHAnsi"/>
        </w:rPr>
        <w:t>, który stanowi:</w:t>
      </w:r>
    </w:p>
    <w:p w:rsidR="009B6908" w:rsidRDefault="009B6908" w:rsidP="00364635">
      <w:pPr>
        <w:tabs>
          <w:tab w:val="left" w:pos="1309"/>
        </w:tabs>
        <w:spacing w:after="0" w:line="276" w:lineRule="auto"/>
        <w:jc w:val="both"/>
        <w:rPr>
          <w:rFonts w:eastAsia="Calibri" w:cstheme="minorHAnsi"/>
        </w:rPr>
      </w:pPr>
      <w:r w:rsidRPr="008F0E43">
        <w:rPr>
          <w:rFonts w:eastAsia="Calibri" w:cstheme="minorHAnsi"/>
        </w:rPr>
        <w:t>„Zamawiający unieważnia postępowanie o udzielenie zamówienia, jeżeli cena lub koszt</w:t>
      </w:r>
      <w:r w:rsidR="006064A5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najkorzystniejszej oferty lub oferta z najniższą ceną przewyższa kwotę, którą zamawiający</w:t>
      </w:r>
      <w:r w:rsidR="006064A5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zamierza przeznaczyć na sfinansowanie zamówienia, chyba że zamawiający może zwiększyć tę</w:t>
      </w:r>
      <w:r w:rsidR="006064A5">
        <w:rPr>
          <w:rFonts w:eastAsia="Calibri" w:cstheme="minorHAnsi"/>
        </w:rPr>
        <w:t xml:space="preserve"> </w:t>
      </w:r>
      <w:r w:rsidRPr="008F0E43">
        <w:rPr>
          <w:rFonts w:eastAsia="Calibri" w:cstheme="minorHAnsi"/>
        </w:rPr>
        <w:t>kwotę do ceny lub kosztu najkorzystniejszej oferty.”</w:t>
      </w:r>
    </w:p>
    <w:p w:rsidR="00397012" w:rsidRPr="00397012" w:rsidRDefault="006D5B80" w:rsidP="00364635">
      <w:pPr>
        <w:pStyle w:val="wzory-uzasadnienie"/>
        <w:jc w:val="both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br/>
      </w:r>
      <w:r w:rsidR="003D3A71" w:rsidRPr="005625EE">
        <w:rPr>
          <w:rFonts w:asciiTheme="minorHAnsi" w:cstheme="minorHAnsi"/>
          <w:sz w:val="22"/>
        </w:rPr>
        <w:t xml:space="preserve">Ponadto, Zamawiający informuje, iż od powyższej decyzji przysługują Wykonawcom środki ochrony prawnej, o których mowa w Dziale IX </w:t>
      </w:r>
      <w:proofErr w:type="spellStart"/>
      <w:r w:rsidR="003D3A71">
        <w:rPr>
          <w:rFonts w:asciiTheme="minorHAnsi" w:cstheme="minorHAnsi"/>
          <w:sz w:val="22"/>
        </w:rPr>
        <w:t>Pzp</w:t>
      </w:r>
      <w:proofErr w:type="spellEnd"/>
      <w:r w:rsidR="003D3A71" w:rsidRPr="005625EE">
        <w:rPr>
          <w:rFonts w:asciiTheme="minorHAnsi" w:cstheme="minorHAnsi"/>
          <w:sz w:val="22"/>
        </w:rPr>
        <w:t>.</w:t>
      </w:r>
    </w:p>
    <w:p w:rsidR="003D3A71" w:rsidRDefault="003D3A71" w:rsidP="008F0E43">
      <w:pPr>
        <w:tabs>
          <w:tab w:val="left" w:pos="1309"/>
        </w:tabs>
        <w:spacing w:after="0" w:line="300" w:lineRule="exact"/>
        <w:jc w:val="both"/>
        <w:rPr>
          <w:rFonts w:eastAsia="Calibri" w:cstheme="minorHAnsi"/>
        </w:rPr>
      </w:pPr>
    </w:p>
    <w:p w:rsidR="003D3A71" w:rsidRPr="008F0E43" w:rsidRDefault="003D3A71" w:rsidP="008F0E43">
      <w:pPr>
        <w:tabs>
          <w:tab w:val="left" w:pos="1309"/>
        </w:tabs>
        <w:spacing w:after="0" w:line="300" w:lineRule="exact"/>
        <w:jc w:val="both"/>
        <w:rPr>
          <w:rFonts w:eastAsia="Calibri" w:cstheme="minorHAnsi"/>
        </w:rPr>
      </w:pPr>
    </w:p>
    <w:p w:rsidR="009B6908" w:rsidRDefault="009B6908" w:rsidP="009B6908">
      <w:pPr>
        <w:tabs>
          <w:tab w:val="left" w:pos="1309"/>
        </w:tabs>
        <w:spacing w:after="0" w:line="300" w:lineRule="exact"/>
        <w:rPr>
          <w:rFonts w:ascii="Calibri" w:eastAsia="Calibri" w:hAnsi="Calibri" w:cs="Arial"/>
          <w:sz w:val="20"/>
          <w:u w:val="single"/>
        </w:rPr>
      </w:pPr>
    </w:p>
    <w:p w:rsidR="006F4B8E" w:rsidRDefault="000F1F21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br/>
      </w: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6F4B8E" w:rsidRDefault="006F4B8E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</w:p>
    <w:p w:rsidR="000F1F21" w:rsidRPr="00675A6F" w:rsidRDefault="000F1F21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  <w:u w:val="single"/>
        </w:rPr>
      </w:pPr>
      <w:r w:rsidRPr="00675A6F">
        <w:rPr>
          <w:rFonts w:cs="Arial"/>
          <w:sz w:val="20"/>
          <w:u w:val="single"/>
        </w:rPr>
        <w:t>Wykonano w 1 egz.:</w:t>
      </w:r>
    </w:p>
    <w:p w:rsidR="009B6908" w:rsidRPr="000F1F21" w:rsidRDefault="000F1F21" w:rsidP="000F1F21">
      <w:pPr>
        <w:tabs>
          <w:tab w:val="left" w:pos="1309"/>
        </w:tabs>
        <w:spacing w:after="0" w:line="300" w:lineRule="exact"/>
        <w:jc w:val="both"/>
        <w:rPr>
          <w:rFonts w:cs="Arial"/>
          <w:sz w:val="20"/>
        </w:rPr>
      </w:pPr>
      <w:r w:rsidRPr="00675A6F">
        <w:rPr>
          <w:rFonts w:cs="Arial"/>
          <w:sz w:val="20"/>
        </w:rPr>
        <w:t>Egz. nr 1 –</w:t>
      </w:r>
      <w:r>
        <w:rPr>
          <w:rFonts w:cs="Arial"/>
          <w:sz w:val="20"/>
        </w:rPr>
        <w:t xml:space="preserve"> </w:t>
      </w:r>
      <w:r w:rsidRPr="00675A6F">
        <w:rPr>
          <w:rFonts w:cs="Arial"/>
          <w:sz w:val="20"/>
        </w:rPr>
        <w:t>informacja umieszczona na stronie prowadzonego postępowania</w:t>
      </w:r>
      <w:r>
        <w:rPr>
          <w:rFonts w:cs="Arial"/>
          <w:sz w:val="20"/>
        </w:rPr>
        <w:t>, przesłana wykonawcom uczestniczącym w postępowaniu</w:t>
      </w:r>
    </w:p>
    <w:sectPr w:rsidR="009B6908" w:rsidRPr="000F1F21" w:rsidSect="00BC2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C9" w:rsidRDefault="004A51C9">
      <w:pPr>
        <w:spacing w:after="0" w:line="240" w:lineRule="auto"/>
      </w:pPr>
      <w:r>
        <w:separator/>
      </w:r>
    </w:p>
  </w:endnote>
  <w:endnote w:type="continuationSeparator" w:id="0">
    <w:p w:rsidR="004A51C9" w:rsidRDefault="004A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C" w:rsidRDefault="004A51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1E" w:rsidRDefault="00AB706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F4A">
      <w:rPr>
        <w:noProof/>
      </w:rPr>
      <w:t>2</w:t>
    </w:r>
    <w:r>
      <w:rPr>
        <w:noProof/>
      </w:rPr>
      <w:fldChar w:fldCharType="end"/>
    </w:r>
  </w:p>
  <w:p w:rsidR="00914F1E" w:rsidRDefault="004A51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C" w:rsidRDefault="004A5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C9" w:rsidRDefault="004A51C9">
      <w:pPr>
        <w:spacing w:after="0" w:line="240" w:lineRule="auto"/>
      </w:pPr>
      <w:r>
        <w:separator/>
      </w:r>
    </w:p>
  </w:footnote>
  <w:footnote w:type="continuationSeparator" w:id="0">
    <w:p w:rsidR="004A51C9" w:rsidRDefault="004A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25" w:rsidRDefault="00AB706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C" w:rsidRDefault="004A51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E36FC1" w:rsidTr="000165A7">
      <w:tc>
        <w:tcPr>
          <w:tcW w:w="3281" w:type="dxa"/>
          <w:shd w:val="clear" w:color="auto" w:fill="auto"/>
        </w:tcPr>
        <w:p w:rsidR="00586897" w:rsidRDefault="001A75D0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586897" w:rsidRPr="000165A7" w:rsidRDefault="00AB706A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Poznaniu</w:t>
          </w:r>
        </w:p>
        <w:p w:rsidR="00586897" w:rsidRPr="00E36FC1" w:rsidRDefault="00AB706A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</w:rPr>
            <w:t>61-729 Poznań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proofErr w:type="spellStart"/>
          <w:r w:rsidRPr="00E36FC1">
            <w:rPr>
              <w:color w:val="262626"/>
              <w:sz w:val="17"/>
              <w:szCs w:val="17"/>
              <w:lang w:val="en-US"/>
            </w:rPr>
            <w:t>Młyńska</w:t>
          </w:r>
          <w:proofErr w:type="spellEnd"/>
          <w:r w:rsidRPr="00E36FC1">
            <w:rPr>
              <w:color w:val="262626"/>
              <w:sz w:val="17"/>
              <w:szCs w:val="17"/>
              <w:lang w:val="en-US"/>
            </w:rPr>
            <w:t xml:space="preserve"> 1</w:t>
          </w:r>
        </w:p>
        <w:p w:rsidR="00586897" w:rsidRPr="00E36FC1" w:rsidRDefault="00AB706A" w:rsidP="00D1087B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E36FC1">
            <w:rPr>
              <w:color w:val="262626"/>
              <w:sz w:val="17"/>
              <w:szCs w:val="17"/>
              <w:lang w:val="en-US"/>
            </w:rPr>
            <w:t>tel. 61 856 82 50, fax 61 856 82 52 , email: as_poznan@sw.gov.pl</w:t>
          </w:r>
        </w:p>
      </w:tc>
    </w:tr>
  </w:tbl>
  <w:p w:rsidR="004805D3" w:rsidRPr="00E36FC1" w:rsidRDefault="004A51C9" w:rsidP="00B63C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D06"/>
    <w:multiLevelType w:val="hybridMultilevel"/>
    <w:tmpl w:val="05B2EF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04BAE"/>
    <w:multiLevelType w:val="hybridMultilevel"/>
    <w:tmpl w:val="D2941980"/>
    <w:lvl w:ilvl="0" w:tplc="C63A59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E1C71"/>
    <w:multiLevelType w:val="hybridMultilevel"/>
    <w:tmpl w:val="C0447086"/>
    <w:lvl w:ilvl="0" w:tplc="84321A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0"/>
    <w:rsid w:val="00006244"/>
    <w:rsid w:val="0003327E"/>
    <w:rsid w:val="00051423"/>
    <w:rsid w:val="00053A0A"/>
    <w:rsid w:val="00081F9B"/>
    <w:rsid w:val="000D4847"/>
    <w:rsid w:val="000E72FC"/>
    <w:rsid w:val="000F1F21"/>
    <w:rsid w:val="000F7584"/>
    <w:rsid w:val="000F7D28"/>
    <w:rsid w:val="001071C2"/>
    <w:rsid w:val="00176D87"/>
    <w:rsid w:val="00190592"/>
    <w:rsid w:val="00197AC4"/>
    <w:rsid w:val="001A72F7"/>
    <w:rsid w:val="001A75D0"/>
    <w:rsid w:val="001B52EE"/>
    <w:rsid w:val="002200AE"/>
    <w:rsid w:val="00221A23"/>
    <w:rsid w:val="00236F74"/>
    <w:rsid w:val="00250CC6"/>
    <w:rsid w:val="00250FF0"/>
    <w:rsid w:val="002976E1"/>
    <w:rsid w:val="002E145C"/>
    <w:rsid w:val="002E1A71"/>
    <w:rsid w:val="002E5975"/>
    <w:rsid w:val="002F7C59"/>
    <w:rsid w:val="003017B0"/>
    <w:rsid w:val="00357CD8"/>
    <w:rsid w:val="00363FA5"/>
    <w:rsid w:val="00364635"/>
    <w:rsid w:val="00364F12"/>
    <w:rsid w:val="00392C9C"/>
    <w:rsid w:val="00397012"/>
    <w:rsid w:val="003D3A71"/>
    <w:rsid w:val="003E7E53"/>
    <w:rsid w:val="00422628"/>
    <w:rsid w:val="00437B2C"/>
    <w:rsid w:val="00441E4F"/>
    <w:rsid w:val="004838B7"/>
    <w:rsid w:val="00497201"/>
    <w:rsid w:val="00497D5A"/>
    <w:rsid w:val="004A51C9"/>
    <w:rsid w:val="004E310A"/>
    <w:rsid w:val="004E5920"/>
    <w:rsid w:val="004F57E4"/>
    <w:rsid w:val="00525629"/>
    <w:rsid w:val="00543B7B"/>
    <w:rsid w:val="00544E90"/>
    <w:rsid w:val="005625EE"/>
    <w:rsid w:val="00574BE8"/>
    <w:rsid w:val="005A703D"/>
    <w:rsid w:val="006064A5"/>
    <w:rsid w:val="00617A19"/>
    <w:rsid w:val="00631A20"/>
    <w:rsid w:val="0064406C"/>
    <w:rsid w:val="00652A5C"/>
    <w:rsid w:val="006A5F1B"/>
    <w:rsid w:val="006D5B80"/>
    <w:rsid w:val="006E4DFB"/>
    <w:rsid w:val="006F3319"/>
    <w:rsid w:val="006F4B8E"/>
    <w:rsid w:val="006F50B4"/>
    <w:rsid w:val="0074081E"/>
    <w:rsid w:val="00743AE6"/>
    <w:rsid w:val="007808B0"/>
    <w:rsid w:val="00782610"/>
    <w:rsid w:val="007B7EDE"/>
    <w:rsid w:val="007C548C"/>
    <w:rsid w:val="007D3F54"/>
    <w:rsid w:val="007D7495"/>
    <w:rsid w:val="007F549D"/>
    <w:rsid w:val="00800EB6"/>
    <w:rsid w:val="00801DE3"/>
    <w:rsid w:val="00804DCC"/>
    <w:rsid w:val="00830B91"/>
    <w:rsid w:val="00832919"/>
    <w:rsid w:val="008354C5"/>
    <w:rsid w:val="008371FA"/>
    <w:rsid w:val="008474E1"/>
    <w:rsid w:val="00855715"/>
    <w:rsid w:val="00856F15"/>
    <w:rsid w:val="00871FFF"/>
    <w:rsid w:val="00894CF0"/>
    <w:rsid w:val="008E5B06"/>
    <w:rsid w:val="008F0E43"/>
    <w:rsid w:val="00917575"/>
    <w:rsid w:val="009217D7"/>
    <w:rsid w:val="00922002"/>
    <w:rsid w:val="00922CE9"/>
    <w:rsid w:val="00937B3E"/>
    <w:rsid w:val="00952BE1"/>
    <w:rsid w:val="00961B05"/>
    <w:rsid w:val="00962375"/>
    <w:rsid w:val="009B16F7"/>
    <w:rsid w:val="009B6908"/>
    <w:rsid w:val="009D3CCE"/>
    <w:rsid w:val="009F038A"/>
    <w:rsid w:val="009F2217"/>
    <w:rsid w:val="00A1080B"/>
    <w:rsid w:val="00A20C59"/>
    <w:rsid w:val="00A22498"/>
    <w:rsid w:val="00A47E12"/>
    <w:rsid w:val="00A5022A"/>
    <w:rsid w:val="00A73BA6"/>
    <w:rsid w:val="00A87BE5"/>
    <w:rsid w:val="00AA1424"/>
    <w:rsid w:val="00AB706A"/>
    <w:rsid w:val="00AC145A"/>
    <w:rsid w:val="00AE238F"/>
    <w:rsid w:val="00AE5B24"/>
    <w:rsid w:val="00B32D0D"/>
    <w:rsid w:val="00B83D2E"/>
    <w:rsid w:val="00BB7937"/>
    <w:rsid w:val="00BC2F4A"/>
    <w:rsid w:val="00BD22D4"/>
    <w:rsid w:val="00BE38F7"/>
    <w:rsid w:val="00BF005E"/>
    <w:rsid w:val="00C20991"/>
    <w:rsid w:val="00C277BD"/>
    <w:rsid w:val="00C96FA9"/>
    <w:rsid w:val="00CA32A5"/>
    <w:rsid w:val="00D268E5"/>
    <w:rsid w:val="00D90BD7"/>
    <w:rsid w:val="00DB3EA4"/>
    <w:rsid w:val="00DC1758"/>
    <w:rsid w:val="00DC217E"/>
    <w:rsid w:val="00DC5851"/>
    <w:rsid w:val="00DD2F89"/>
    <w:rsid w:val="00DF1634"/>
    <w:rsid w:val="00DF5AAC"/>
    <w:rsid w:val="00DF675B"/>
    <w:rsid w:val="00E32A03"/>
    <w:rsid w:val="00EB45B8"/>
    <w:rsid w:val="00EB47F1"/>
    <w:rsid w:val="00ED505B"/>
    <w:rsid w:val="00ED68FA"/>
    <w:rsid w:val="00F11454"/>
    <w:rsid w:val="00F70C31"/>
    <w:rsid w:val="00FB3C10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5D0"/>
  </w:style>
  <w:style w:type="paragraph" w:styleId="Stopka">
    <w:name w:val="footer"/>
    <w:basedOn w:val="Normalny"/>
    <w:link w:val="StopkaZnak"/>
    <w:uiPriority w:val="99"/>
    <w:semiHidden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5D0"/>
  </w:style>
  <w:style w:type="paragraph" w:styleId="Tekstdymka">
    <w:name w:val="Balloon Text"/>
    <w:basedOn w:val="Normalny"/>
    <w:link w:val="TekstdymkaZnak"/>
    <w:uiPriority w:val="99"/>
    <w:semiHidden/>
    <w:unhideWhenUsed/>
    <w:rsid w:val="00A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3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C10"/>
    <w:pPr>
      <w:ind w:left="720"/>
      <w:contextualSpacing/>
    </w:pPr>
  </w:style>
  <w:style w:type="paragraph" w:styleId="Bezodstpw">
    <w:name w:val="No Spacing"/>
    <w:uiPriority w:val="1"/>
    <w:qFormat/>
    <w:rsid w:val="00DD2F8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32D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y-adresy">
    <w:name w:val="wzory-adresy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wzory-data">
    <w:name w:val="wzory-data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podtytul">
    <w:name w:val="wzory-podtytul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sad">
    <w:name w:val="wzory-sad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tekst">
    <w:name w:val="wzory-tekst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uzasadnienie">
    <w:name w:val="wzory-uzasadnienie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Default">
    <w:name w:val="Default"/>
    <w:rsid w:val="00922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5D0"/>
  </w:style>
  <w:style w:type="paragraph" w:styleId="Stopka">
    <w:name w:val="footer"/>
    <w:basedOn w:val="Normalny"/>
    <w:link w:val="StopkaZnak"/>
    <w:uiPriority w:val="99"/>
    <w:semiHidden/>
    <w:unhideWhenUsed/>
    <w:rsid w:val="001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5D0"/>
  </w:style>
  <w:style w:type="paragraph" w:styleId="Tekstdymka">
    <w:name w:val="Balloon Text"/>
    <w:basedOn w:val="Normalny"/>
    <w:link w:val="TekstdymkaZnak"/>
    <w:uiPriority w:val="99"/>
    <w:semiHidden/>
    <w:unhideWhenUsed/>
    <w:rsid w:val="00A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3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C10"/>
    <w:pPr>
      <w:ind w:left="720"/>
      <w:contextualSpacing/>
    </w:pPr>
  </w:style>
  <w:style w:type="paragraph" w:styleId="Bezodstpw">
    <w:name w:val="No Spacing"/>
    <w:uiPriority w:val="1"/>
    <w:qFormat/>
    <w:rsid w:val="00DD2F8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32D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y-adresy">
    <w:name w:val="wzory-adresy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wzory-data">
    <w:name w:val="wzory-data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podtytul">
    <w:name w:val="wzory-podtytul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sad">
    <w:name w:val="wzory-sad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tekst">
    <w:name w:val="wzory-tekst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uzasadnienie">
    <w:name w:val="wzory-uzasadnienie"/>
    <w:uiPriority w:val="1"/>
    <w:qFormat/>
    <w:rsid w:val="00C277BD"/>
    <w:pPr>
      <w:spacing w:after="200" w:line="276" w:lineRule="auto"/>
      <w:outlineLvl w:val="1"/>
    </w:pPr>
    <w:rPr>
      <w:rFonts w:ascii="Times New Roman" w:eastAsiaTheme="minorEastAsia"/>
      <w:color w:val="000000"/>
      <w:sz w:val="16"/>
      <w:lang w:eastAsia="pl-PL"/>
    </w:rPr>
  </w:style>
  <w:style w:type="paragraph" w:customStyle="1" w:styleId="Default">
    <w:name w:val="Default"/>
    <w:rsid w:val="00922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Sobańska</dc:creator>
  <cp:lastModifiedBy>Izabela Matyba</cp:lastModifiedBy>
  <cp:revision>52</cp:revision>
  <cp:lastPrinted>2024-02-15T07:59:00Z</cp:lastPrinted>
  <dcterms:created xsi:type="dcterms:W3CDTF">2024-02-13T09:48:00Z</dcterms:created>
  <dcterms:modified xsi:type="dcterms:W3CDTF">2024-02-15T09:27:00Z</dcterms:modified>
</cp:coreProperties>
</file>