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33" w:rsidRDefault="00A100A7">
      <w:r>
        <w:tab/>
      </w:r>
      <w:r>
        <w:tab/>
      </w:r>
      <w:r>
        <w:tab/>
      </w:r>
    </w:p>
    <w:tbl>
      <w:tblPr>
        <w:tblpPr w:leftFromText="141" w:rightFromText="141" w:vertAnchor="page" w:horzAnchor="margin" w:tblpXSpec="center" w:tblpY="2604"/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65"/>
        <w:gridCol w:w="1185"/>
        <w:gridCol w:w="1793"/>
        <w:gridCol w:w="2267"/>
      </w:tblGrid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>Lp.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>Nazwa części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 xml:space="preserve">Szacunkowa ilość 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 xml:space="preserve">cena </w:t>
            </w:r>
            <w:r>
              <w:rPr>
                <w:rFonts w:ascii="Book Antiqua" w:hAnsi="Book Antiqua" w:cs="Arial"/>
                <w:b/>
                <w:color w:val="000000"/>
                <w:szCs w:val="24"/>
              </w:rPr>
              <w:t>jednostkowa netto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>Wartość netto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1.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 xml:space="preserve">Filtr oleju 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22 szt.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2.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Filtra powietrza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22 szt.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3.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 xml:space="preserve">Olej silnikowy 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70 l.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4.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Akumulator </w:t>
            </w:r>
            <w:r w:rsidR="00432DC9">
              <w:rPr>
                <w:rFonts w:ascii="Book Antiqua" w:hAnsi="Book Antiqua" w:cs="Arial"/>
                <w:color w:val="000000"/>
                <w:szCs w:val="24"/>
              </w:rPr>
              <w:t xml:space="preserve">kwasowy </w:t>
            </w:r>
            <w:bookmarkStart w:id="0" w:name="_GoBack"/>
            <w:bookmarkEnd w:id="0"/>
            <w:r>
              <w:rPr>
                <w:rFonts w:ascii="Book Antiqua" w:hAnsi="Book Antiqua" w:cs="Arial"/>
                <w:color w:val="000000"/>
                <w:szCs w:val="24"/>
              </w:rPr>
              <w:t>EXIDE 12V, 86 Ah, 145A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15 szt.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5.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Usługa regulacji zaworów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6.</w:t>
            </w:r>
          </w:p>
        </w:tc>
        <w:tc>
          <w:tcPr>
            <w:tcW w:w="2065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Zestaw napędowy (łańcuch i zębatka)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7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kpl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7.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Opona Pirelli Angel 160/60 ZR17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 szt.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Opona Pirelli Angel 120/70 ZR17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 szt.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9.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Usługa konserwacji napędu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22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10.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Klocki hamulcowe przednie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15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kpl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Pr="006C6C25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11.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Klocki hamulcowe tylne</w:t>
            </w:r>
          </w:p>
        </w:tc>
        <w:tc>
          <w:tcPr>
            <w:tcW w:w="1185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10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kpl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12.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Usługa wymiany płynu hamulcowego (z płynem) – 1 układ</w:t>
            </w:r>
          </w:p>
        </w:tc>
        <w:tc>
          <w:tcPr>
            <w:tcW w:w="1185" w:type="dxa"/>
          </w:tcPr>
          <w:p w:rsidR="00D54033" w:rsidRDefault="00432DC9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</w:t>
            </w:r>
            <w:r w:rsidR="00D54033">
              <w:rPr>
                <w:rFonts w:ascii="Book Antiqua" w:hAnsi="Book Antiqua" w:cs="Arial"/>
                <w:color w:val="000000"/>
                <w:szCs w:val="24"/>
              </w:rPr>
              <w:t>0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13.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Robocizna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250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rbg</w:t>
            </w:r>
            <w:proofErr w:type="spellEnd"/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7829" w:type="dxa"/>
            <w:gridSpan w:val="5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Yamaha YBR 125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</w:t>
            </w:r>
            <w:r>
              <w:rPr>
                <w:rFonts w:ascii="Book Antiqua" w:hAnsi="Book Antiqua" w:cs="Arial"/>
                <w:color w:val="000000"/>
                <w:szCs w:val="24"/>
              </w:rPr>
              <w:t>4</w:t>
            </w:r>
            <w:r>
              <w:rPr>
                <w:rFonts w:ascii="Book Antiqua" w:hAnsi="Book Antiqua" w:cs="Arial"/>
                <w:color w:val="000000"/>
                <w:szCs w:val="24"/>
              </w:rPr>
              <w:t xml:space="preserve">. 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Części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1.500,00 zł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15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Robocizna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1.500,00 zł</w:t>
            </w:r>
          </w:p>
        </w:tc>
      </w:tr>
      <w:tr w:rsidR="00D54033" w:rsidRPr="006C6C25" w:rsidTr="00D54033">
        <w:tc>
          <w:tcPr>
            <w:tcW w:w="7829" w:type="dxa"/>
            <w:gridSpan w:val="5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Kawasaki GTR 1400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</w:t>
            </w:r>
            <w:r>
              <w:rPr>
                <w:rFonts w:ascii="Book Antiqua" w:hAnsi="Book Antiqua" w:cs="Arial"/>
                <w:color w:val="000000"/>
                <w:szCs w:val="24"/>
              </w:rPr>
              <w:t>5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Części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1.500,00 zł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16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Robocizna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1.500,00 zł</w:t>
            </w:r>
          </w:p>
        </w:tc>
      </w:tr>
      <w:tr w:rsidR="00D54033" w:rsidRPr="006C6C25" w:rsidTr="00D54033">
        <w:tc>
          <w:tcPr>
            <w:tcW w:w="7829" w:type="dxa"/>
            <w:gridSpan w:val="5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Honda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Deauville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 xml:space="preserve"> 700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</w:t>
            </w:r>
            <w:r>
              <w:rPr>
                <w:rFonts w:ascii="Book Antiqua" w:hAnsi="Book Antiqua" w:cs="Arial"/>
                <w:color w:val="000000"/>
                <w:szCs w:val="24"/>
              </w:rPr>
              <w:t>7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Części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3.000,00 zł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18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Robocizna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3.000,00 zł</w:t>
            </w:r>
          </w:p>
        </w:tc>
      </w:tr>
      <w:tr w:rsidR="00D54033" w:rsidRPr="006C6C25" w:rsidTr="00D54033">
        <w:tc>
          <w:tcPr>
            <w:tcW w:w="7829" w:type="dxa"/>
            <w:gridSpan w:val="5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Suzuki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Bandit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 xml:space="preserve"> 600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</w:t>
            </w:r>
            <w:r>
              <w:rPr>
                <w:rFonts w:ascii="Book Antiqua" w:hAnsi="Book Antiqua" w:cs="Arial"/>
                <w:color w:val="000000"/>
                <w:szCs w:val="24"/>
              </w:rPr>
              <w:t>9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Części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1.000,00 zł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</w:t>
            </w:r>
            <w:r>
              <w:rPr>
                <w:rFonts w:ascii="Book Antiqua" w:hAnsi="Book Antiqua" w:cs="Arial"/>
                <w:color w:val="000000"/>
                <w:szCs w:val="24"/>
              </w:rPr>
              <w:t>0</w:t>
            </w:r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Robocizna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1.000,00 zł</w:t>
            </w:r>
          </w:p>
        </w:tc>
      </w:tr>
      <w:tr w:rsidR="00D54033" w:rsidRPr="006C6C25" w:rsidTr="00D54033">
        <w:tc>
          <w:tcPr>
            <w:tcW w:w="7829" w:type="dxa"/>
            <w:gridSpan w:val="5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Honda CBF 600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21.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Części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3.000,00 zł</w:t>
            </w:r>
          </w:p>
        </w:tc>
      </w:tr>
      <w:tr w:rsidR="00D54033" w:rsidRPr="006C6C25" w:rsidTr="00D54033">
        <w:tc>
          <w:tcPr>
            <w:tcW w:w="519" w:type="dxa"/>
          </w:tcPr>
          <w:p w:rsidR="00D54033" w:rsidRDefault="00D54033" w:rsidP="00D54033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22.</w:t>
            </w:r>
          </w:p>
        </w:tc>
        <w:tc>
          <w:tcPr>
            <w:tcW w:w="2065" w:type="dxa"/>
          </w:tcPr>
          <w:p w:rsidR="00D54033" w:rsidRDefault="00D54033" w:rsidP="00D5403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Robocizna</w:t>
            </w:r>
          </w:p>
        </w:tc>
        <w:tc>
          <w:tcPr>
            <w:tcW w:w="1185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793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2267" w:type="dxa"/>
          </w:tcPr>
          <w:p w:rsidR="00D54033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3.000,00 zł</w:t>
            </w:r>
          </w:p>
        </w:tc>
      </w:tr>
      <w:tr w:rsidR="00D54033" w:rsidRPr="006C6C25" w:rsidTr="00D54033">
        <w:tc>
          <w:tcPr>
            <w:tcW w:w="5562" w:type="dxa"/>
            <w:gridSpan w:val="4"/>
          </w:tcPr>
          <w:p w:rsidR="00D54033" w:rsidRPr="006C6C25" w:rsidRDefault="00D54033" w:rsidP="00D54033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Suma wartości netto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</w:p>
        </w:tc>
      </w:tr>
      <w:tr w:rsidR="00D54033" w:rsidRPr="006C6C25" w:rsidTr="00D54033">
        <w:tc>
          <w:tcPr>
            <w:tcW w:w="5562" w:type="dxa"/>
            <w:gridSpan w:val="4"/>
          </w:tcPr>
          <w:p w:rsidR="00D54033" w:rsidRPr="006C6C25" w:rsidRDefault="00D54033" w:rsidP="00D54033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Stawka podatku VAT w %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23</w:t>
            </w:r>
          </w:p>
        </w:tc>
      </w:tr>
      <w:tr w:rsidR="00D54033" w:rsidRPr="006C6C25" w:rsidTr="00D54033">
        <w:trPr>
          <w:trHeight w:val="70"/>
        </w:trPr>
        <w:tc>
          <w:tcPr>
            <w:tcW w:w="5562" w:type="dxa"/>
            <w:gridSpan w:val="4"/>
          </w:tcPr>
          <w:p w:rsidR="00D54033" w:rsidRPr="006C6C25" w:rsidRDefault="00D54033" w:rsidP="00D54033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Wartość brutto</w:t>
            </w:r>
          </w:p>
        </w:tc>
        <w:tc>
          <w:tcPr>
            <w:tcW w:w="2267" w:type="dxa"/>
          </w:tcPr>
          <w:p w:rsidR="00D54033" w:rsidRPr="006C6C25" w:rsidRDefault="00D54033" w:rsidP="00D54033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>zł</w:t>
            </w:r>
          </w:p>
        </w:tc>
      </w:tr>
    </w:tbl>
    <w:p w:rsidR="00C77E6B" w:rsidRPr="00A100A7" w:rsidRDefault="00432DC9">
      <w:pPr>
        <w:rPr>
          <w:b/>
          <w:u w:val="single"/>
        </w:rPr>
      </w:pPr>
      <w:r>
        <w:tab/>
      </w:r>
      <w:r w:rsidR="00A100A7" w:rsidRPr="00A100A7">
        <w:rPr>
          <w:b/>
          <w:u w:val="single"/>
        </w:rPr>
        <w:t xml:space="preserve">Usługa i materiały  - </w:t>
      </w:r>
      <w:r>
        <w:rPr>
          <w:b/>
          <w:u w:val="single"/>
        </w:rPr>
        <w:t xml:space="preserve">ceny dla </w:t>
      </w:r>
      <w:r w:rsidR="00A100A7" w:rsidRPr="00A100A7">
        <w:rPr>
          <w:b/>
          <w:u w:val="single"/>
        </w:rPr>
        <w:t>HONDA CBF 1000</w:t>
      </w:r>
      <w:r>
        <w:rPr>
          <w:b/>
          <w:u w:val="single"/>
        </w:rPr>
        <w:t xml:space="preserve"> 92 kW, rok. </w:t>
      </w:r>
      <w:proofErr w:type="spellStart"/>
      <w:r>
        <w:rPr>
          <w:b/>
          <w:u w:val="single"/>
        </w:rPr>
        <w:t>prod</w:t>
      </w:r>
      <w:proofErr w:type="spellEnd"/>
      <w:r>
        <w:rPr>
          <w:b/>
          <w:u w:val="single"/>
        </w:rPr>
        <w:t>. 2011 i pozostałe w poz. 14 -22</w:t>
      </w:r>
    </w:p>
    <w:sectPr w:rsidR="00C77E6B" w:rsidRPr="00A100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33" w:rsidRDefault="00D54033" w:rsidP="00D54033">
      <w:r>
        <w:separator/>
      </w:r>
    </w:p>
  </w:endnote>
  <w:endnote w:type="continuationSeparator" w:id="0">
    <w:p w:rsidR="00D54033" w:rsidRDefault="00D54033" w:rsidP="00D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33" w:rsidRDefault="00D54033" w:rsidP="00D54033">
    <w:pPr>
      <w:pStyle w:val="Stopka"/>
      <w:numPr>
        <w:ilvl w:val="0"/>
        <w:numId w:val="1"/>
      </w:numPr>
    </w:pPr>
    <w:r>
      <w:t>- do uzupełnionych wartości należy dodać wartości ujęte w pozycjach od 14-22.</w:t>
    </w:r>
  </w:p>
  <w:p w:rsidR="00D54033" w:rsidRDefault="00D54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33" w:rsidRDefault="00D54033" w:rsidP="00D54033">
      <w:r>
        <w:separator/>
      </w:r>
    </w:p>
  </w:footnote>
  <w:footnote w:type="continuationSeparator" w:id="0">
    <w:p w:rsidR="00D54033" w:rsidRDefault="00D54033" w:rsidP="00D5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D2D"/>
    <w:multiLevelType w:val="hybridMultilevel"/>
    <w:tmpl w:val="A5AC4F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69"/>
    <w:rsid w:val="001111D7"/>
    <w:rsid w:val="001C5935"/>
    <w:rsid w:val="00306404"/>
    <w:rsid w:val="00432DC9"/>
    <w:rsid w:val="005473B0"/>
    <w:rsid w:val="006C1647"/>
    <w:rsid w:val="0070168D"/>
    <w:rsid w:val="008B6E2D"/>
    <w:rsid w:val="00981858"/>
    <w:rsid w:val="009C49EF"/>
    <w:rsid w:val="00A100A7"/>
    <w:rsid w:val="00AF2969"/>
    <w:rsid w:val="00C77E6B"/>
    <w:rsid w:val="00D54033"/>
    <w:rsid w:val="00E85D3B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0DEE"/>
  <w15:chartTrackingRefBased/>
  <w15:docId w15:val="{0167C1BC-9AB1-4D8C-BE36-DE2EC37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D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4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0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Tejszerski</dc:creator>
  <cp:keywords/>
  <dc:description/>
  <cp:lastModifiedBy>Piotr Tejszerski</cp:lastModifiedBy>
  <cp:revision>2</cp:revision>
  <dcterms:created xsi:type="dcterms:W3CDTF">2023-10-25T09:17:00Z</dcterms:created>
  <dcterms:modified xsi:type="dcterms:W3CDTF">2023-10-25T09:17:00Z</dcterms:modified>
</cp:coreProperties>
</file>