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245BCC08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B1695">
        <w:rPr>
          <w:sz w:val="24"/>
          <w:szCs w:val="24"/>
          <w:lang w:eastAsia="pl-PL"/>
        </w:rPr>
        <w:t>2</w:t>
      </w:r>
      <w:r w:rsidR="00375B61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B1695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D855F58" w14:textId="560BAC68" w:rsidR="00975110" w:rsidRPr="00975110" w:rsidRDefault="00375B61" w:rsidP="00375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375B61">
        <w:rPr>
          <w:rFonts w:eastAsia="Times New Roman" w:cs="Calibri"/>
          <w:b/>
          <w:bCs/>
          <w:sz w:val="24"/>
          <w:szCs w:val="24"/>
          <w:lang w:eastAsia="zh-CN" w:bidi="pl-PL"/>
        </w:rPr>
        <w:t>Budowa sieci oświetlenia ulicznego w ciągu ulicy Uroczysko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08ECFCBA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75B61">
        <w:rPr>
          <w:b/>
          <w:bCs/>
          <w:sz w:val="24"/>
          <w:szCs w:val="24"/>
          <w:lang w:eastAsia="pl-PL"/>
        </w:rPr>
      </w:r>
      <w:r w:rsidR="00375B6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5B61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B1695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2023-09-29T10:34:00Z</dcterms:modified>
</cp:coreProperties>
</file>