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2FCA9E0C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E34F6">
        <w:rPr>
          <w:rFonts w:ascii="Arial" w:hAnsi="Arial"/>
          <w:b/>
          <w:bCs/>
          <w:sz w:val="20"/>
          <w:szCs w:val="20"/>
        </w:rPr>
        <w:t>34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materiałów</w:t>
      </w:r>
      <w:r w:rsidR="00BE34F6">
        <w:rPr>
          <w:rFonts w:ascii="Arial" w:hAnsi="Arial"/>
          <w:b/>
          <w:bCs/>
          <w:sz w:val="20"/>
          <w:szCs w:val="20"/>
        </w:rPr>
        <w:t xml:space="preserve"> jednorazowych: nici specjalistyczne, </w:t>
      </w:r>
      <w:proofErr w:type="spellStart"/>
      <w:r w:rsidR="00BE34F6">
        <w:rPr>
          <w:rFonts w:ascii="Arial" w:hAnsi="Arial"/>
          <w:b/>
          <w:bCs/>
          <w:sz w:val="20"/>
          <w:szCs w:val="20"/>
        </w:rPr>
        <w:t>staplery</w:t>
      </w:r>
      <w:proofErr w:type="spellEnd"/>
      <w:r w:rsidR="00BE34F6">
        <w:rPr>
          <w:rFonts w:ascii="Arial" w:hAnsi="Arial"/>
          <w:b/>
          <w:bCs/>
          <w:sz w:val="20"/>
          <w:szCs w:val="20"/>
        </w:rPr>
        <w:t xml:space="preserve"> do mocowania siatek przepuklinowych, materiały hemostatyczne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747EE8E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oraz sprzętu jednorazowego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EBBB814" w14:textId="77777777" w:rsidR="00BE34F6" w:rsidRPr="00BE34F6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2F0133FB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0B67F96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4197637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E44FF87" w14:textId="77777777" w:rsidR="00BE34F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39EF8D7F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87C071C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BDAFC88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544973F" w14:textId="6A734EF7" w:rsidR="00CC17E2" w:rsidRPr="00BE34F6" w:rsidRDefault="00B61F75" w:rsidP="00BE34F6">
      <w:pPr>
        <w:tabs>
          <w:tab w:val="left" w:pos="426"/>
        </w:tabs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4B122F5D" w14:textId="77777777" w:rsidR="00BE34F6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</w:t>
      </w:r>
    </w:p>
    <w:p w14:paraId="5EF45DAC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0F10D3B0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2A1803A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38C13312" w:rsidR="00CC17E2" w:rsidRDefault="00B61F75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285E03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33</cp:revision>
  <cp:lastPrinted>2024-04-16T09:14:00Z</cp:lastPrinted>
  <dcterms:created xsi:type="dcterms:W3CDTF">2020-09-18T12:37:00Z</dcterms:created>
  <dcterms:modified xsi:type="dcterms:W3CDTF">2024-04-16T09:18:00Z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