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A4C" w14:textId="58EAA70C" w:rsidR="005075BE" w:rsidRDefault="00590B2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2</w:t>
      </w:r>
    </w:p>
    <w:p w14:paraId="48A70A36" w14:textId="77777777" w:rsidR="005075BE" w:rsidRDefault="005075BE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</w:p>
    <w:p w14:paraId="01DAFCF0" w14:textId="512D0F0B" w:rsidR="00231BFB" w:rsidRPr="00F40A0C" w:rsidRDefault="00231BF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39923A9A" w14:textId="77777777" w:rsidR="00902891" w:rsidRPr="00902891" w:rsidRDefault="00902891" w:rsidP="00F40A0C">
      <w:pPr>
        <w:jc w:val="right"/>
      </w:pPr>
    </w:p>
    <w:tbl>
      <w:tblPr>
        <w:tblpPr w:leftFromText="141" w:rightFromText="141" w:vertAnchor="text" w:tblpXSpec="inside" w:tblpY="1"/>
        <w:tblOverlap w:val="never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5"/>
        <w:gridCol w:w="8204"/>
      </w:tblGrid>
      <w:tr w:rsidR="00AA039F" w:rsidRPr="0051375E" w14:paraId="3761644F" w14:textId="77777777" w:rsidTr="002C1983">
        <w:trPr>
          <w:trHeight w:val="743"/>
        </w:trPr>
        <w:tc>
          <w:tcPr>
            <w:tcW w:w="152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41F46DC" w14:textId="1AD3AC0C" w:rsidR="00F40A0C" w:rsidRPr="00590B2B" w:rsidRDefault="00432EB1" w:rsidP="00590B2B">
            <w:pPr>
              <w:jc w:val="center"/>
              <w:rPr>
                <w:rFonts w:asciiTheme="minorHAnsi" w:hAnsiTheme="minorHAnsi"/>
                <w:b/>
              </w:rPr>
            </w:pPr>
            <w:r w:rsidRPr="00590B2B">
              <w:rPr>
                <w:rFonts w:asciiTheme="minorHAnsi" w:hAnsiTheme="minorHAnsi"/>
                <w:b/>
              </w:rPr>
              <w:t>STÓŁ ANATOMICZNY</w:t>
            </w:r>
            <w:r w:rsidR="00590B2B" w:rsidRPr="00590B2B">
              <w:rPr>
                <w:rFonts w:asciiTheme="minorHAnsi" w:hAnsiTheme="minorHAnsi"/>
                <w:b/>
              </w:rPr>
              <w:t xml:space="preserve"> - 2</w:t>
            </w:r>
            <w:r w:rsidR="00F40A0C" w:rsidRPr="00590B2B">
              <w:rPr>
                <w:rFonts w:asciiTheme="minorHAnsi" w:hAnsiTheme="minorHAnsi"/>
                <w:b/>
              </w:rPr>
              <w:t xml:space="preserve"> SZT.</w:t>
            </w:r>
          </w:p>
          <w:p w14:paraId="73199476" w14:textId="42D2DA19" w:rsidR="00073DC4" w:rsidRPr="00895CD8" w:rsidRDefault="00073DC4" w:rsidP="0018332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0EEC" w:rsidRPr="0051375E" w14:paraId="51E0E6D6" w14:textId="77777777" w:rsidTr="002C1983">
        <w:trPr>
          <w:trHeight w:val="1452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E5204D7" w14:textId="77777777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B90734A" w14:textId="0E288E2A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820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442631C" w14:textId="5DA702F4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(Proszę opisać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wskazać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688">
              <w:rPr>
                <w:rFonts w:asciiTheme="minorHAnsi" w:hAnsiTheme="minorHAnsi"/>
                <w:b/>
                <w:sz w:val="22"/>
                <w:szCs w:val="22"/>
              </w:rPr>
              <w:t xml:space="preserve">poprzez tak/nie 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>oraz podać zakresy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5075BE" w:rsidRPr="0051375E" w14:paraId="019D5B09" w14:textId="77777777" w:rsidTr="002C1983">
        <w:trPr>
          <w:trHeight w:val="25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261C2EE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B7FE6A0" w14:textId="3FD0E4BE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99A5AE3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304B1A43" w14:textId="77777777" w:rsidTr="002C1983">
        <w:trPr>
          <w:trHeight w:val="30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006DF0E4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4BF1E31" w14:textId="0A43A301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1E81A70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40880AA6" w14:textId="77777777" w:rsidTr="002C1983">
        <w:trPr>
          <w:trHeight w:val="872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14FD66C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ABB426A" w14:textId="77777777" w:rsidR="00BB39BA" w:rsidRPr="009443A0" w:rsidRDefault="00BB39BA" w:rsidP="00BB39BA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Stół anatomiczny musi posiadać: </w:t>
            </w:r>
          </w:p>
          <w:p w14:paraId="6EE1A667" w14:textId="15022580" w:rsidR="0086127D" w:rsidRPr="009A3FD4" w:rsidRDefault="00BB39BA" w:rsidP="00BB39B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- wyświetlacz zamontowany w blacie pozwalający na wyświetlenie </w:t>
            </w:r>
            <w:r w:rsidR="002A45C3" w:rsidRPr="002A45C3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poziomo</w:t>
            </w:r>
            <w:r w:rsidR="002A45C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interaktywnego obrazu </w:t>
            </w:r>
            <w:r w:rsidRPr="009443A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całego ciała </w:t>
            </w: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człowieka </w:t>
            </w:r>
            <w:r w:rsidRPr="009443A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rzeczywistych rozmiarów w poziomie (proporcje 1:1).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B539501" w14:textId="0C1D6EE2" w:rsidR="0086127D" w:rsidRPr="0051375E" w:rsidRDefault="0086127D" w:rsidP="00EE7B6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1940" w:rsidRPr="0051375E" w14:paraId="3689301C" w14:textId="77777777" w:rsidTr="002C1983">
        <w:trPr>
          <w:trHeight w:val="6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0E3A50DC" w14:textId="77777777" w:rsidR="00371940" w:rsidRPr="0051375E" w:rsidRDefault="00371940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6E3CB061" w14:textId="6D30462B" w:rsidR="00371940" w:rsidRPr="002A45C3" w:rsidRDefault="002A45C3" w:rsidP="00B244D6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="00C852EC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pełna postać po</w:t>
            </w:r>
            <w:r w:rsidR="009A713A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winna być widoczna na blacie w jednej chwili, bez konieczności przesuwania i pomniejszania obrazu.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9477CBD" w14:textId="77777777" w:rsidR="00371940" w:rsidRPr="0051375E" w:rsidRDefault="00371940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0A88" w:rsidRPr="0051375E" w14:paraId="6996DDCA" w14:textId="77777777" w:rsidTr="002C1983">
        <w:trPr>
          <w:trHeight w:val="1037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547FBD88" w14:textId="77777777" w:rsidR="00900A88" w:rsidRPr="0051375E" w:rsidRDefault="00900A88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396DFD3" w14:textId="788F0A8E" w:rsidR="00900A88" w:rsidRPr="002A45C3" w:rsidRDefault="002A45C3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p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rzekątn</w:t>
            </w: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ą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</w:t>
            </w:r>
            <w:r w:rsidR="00221772" w:rsidRPr="002A45C3">
              <w:rPr>
                <w:color w:val="FF0000"/>
              </w:rPr>
              <w:t xml:space="preserve"> 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wyświetlacza min. 80”. Rozmiar powierzchni wyświetlania stołu min. 200 x 50 cm, rozdzielczość min. 3840 x 1080 punktów.</w:t>
            </w:r>
            <w:r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Ekran pokryty szkłem hartowanym o grubości minimum 5mm, odpornym na wielokrotne czyszczenie.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E157E31" w14:textId="77777777" w:rsidR="00900A88" w:rsidRPr="0051375E" w:rsidRDefault="00900A88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367C06D9" w14:textId="77777777" w:rsidTr="002C1983">
        <w:trPr>
          <w:trHeight w:val="11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8332783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D7FCA3E" w14:textId="2F508E0A" w:rsidR="0086127D" w:rsidRPr="00432EB1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Pr="009C05B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wbudowany program zawierający model anatomiczny człowieka i bibliotekę szczegółowych obrazów struktur anatomicznych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co pozwoli na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prowadzenia zajęć dydaktycznych z anatomii człowieka na różnych kierunkach medycznych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A7E9DE5" w14:textId="77777777" w:rsidR="0086127D" w:rsidRPr="0051375E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079E96FC" w14:textId="77777777" w:rsidTr="002C1983">
        <w:trPr>
          <w:trHeight w:val="156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251C3A91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6FF9DF9" w14:textId="59E98353" w:rsidR="0086127D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oprogramowanie umożliwiające generowanie obrazów 3D z rzeczywistych obrazów pochodzących z różnych systemów obrazowania medycznego PACS (Picture </w:t>
            </w:r>
            <w:proofErr w:type="spellStart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Archiving</w:t>
            </w:r>
            <w:proofErr w:type="spellEnd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Communication</w:t>
            </w:r>
            <w:proofErr w:type="spellEnd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System) z możliwością obracania, powiększania, przycinania w wybranej płaszczyźnie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75C365E" w14:textId="77777777" w:rsidR="0086127D" w:rsidRPr="0051375E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8383C90" w14:textId="77777777" w:rsidTr="002C1983">
        <w:trPr>
          <w:trHeight w:val="921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DA9B55C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84A9EB4" w14:textId="77777777" w:rsidR="001F59F7" w:rsidRPr="00EE7B65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</w:pPr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>wbudowany</w:t>
            </w:r>
            <w:proofErr w:type="spellEnd"/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 xml:space="preserve"> system PACS (Picture Archiving and Communication </w:t>
            </w:r>
          </w:p>
          <w:p w14:paraId="129F4B8A" w14:textId="1F6E6356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System) pozwalający użytkownikom na podłączenie go systemu PACS zamawiającego, bez względu na producenta systemu, oraz na otwieranie nieprzetworzonych, nie konwertowanych po drodze na żaden inny format, obrazów DICOM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4219AB1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E773131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27F2C82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3DB339E" w14:textId="6F619C05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możliwość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wspier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ania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i obsług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i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bezpośrednio, bez konieczności konwersji na inny format, dowoln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kompatybiln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z formatem DICOM dan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z urządzeń je generujących, takich jak mammografy, aparaty USG, systemy mikroskopowe. Jeżeli te urządzenia są częścią systemu PACS, do którego podłączony jest także stół,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musi być możliwość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bezpośrednie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go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wyświetlani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tych danych na stole, zaraz po ich wykonaniu przez urządzenie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1B581DAD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0AFA630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593AEB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3DA1F6A6" w14:textId="2ED9C83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programowanie stołu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które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umożliwia wirtualną segmentację kości odbywającą się poprzez wykonywanie odpowi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ednich gestów palcem na ekranie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oraz umożliwia wykonywanie tego na dowolnym obszarze ciała celem wyodrębnienia interesującego fragmentu poprzez usunięcie otaczających go kości. Segmentacja musi być możliwa do wykonania na wszystkich obrazach DICOM znajdujących się w stole, także na tych zaimportowanych przez użytkowników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9800E4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5A903D13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44BDE63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435B34F" w14:textId="65AF10C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programowanie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które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posiada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m.in.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funkcję tworzenia zakładek, która pozwala na zapamiętanie całej pracy, wszystkich ustawień i zmian, powiększeń, segmentacji, adnotacji i innych, które użytkownik wprowadził podczas pracy z przypadkiem, także tym dodanym przez użytkownika. Funkcja ta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umożliwi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późniejsze wznowienie pracy z obrazem lub zaprezentowanie obszaru dokładnie takiego, jak go zachowaliśmy w zapisanej zakładce.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Uruchomienie wznowienia pracy musi się odbyć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poprzez naciśnięcie przycisku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B2CA3AE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725D4E4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6A79AA6C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88BD3EA" w14:textId="3173B54A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możliwość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pomiar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u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odległości dla różnych wyświetlanych struktur anatomicznych w trybie widoku 3D za pomocą gestu palcami na ekranie dotykowym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74D9A51" w14:textId="01C6720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CABDC2B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2380E7A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343192E" w14:textId="78A56F2C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ożliwość obrotu obrazu we wszystkich osiach, możliwość przesunięcia obrazu, powiększenia oraz dowolnego cięcia wybranego obszaru (wirtualny skalpel)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6029BFB1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91A16CA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3F8340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3F0593E" w14:textId="0822FCE8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w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budowan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ą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przeglądark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ę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cyfrowych badań histologicznych, cytologicznych, wraz z gotową biblioteką przypadków oraz możliwością wgrywania własnych.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69C66A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7CBB0387" w14:textId="77777777" w:rsidTr="00072F41">
        <w:trPr>
          <w:trHeight w:val="1437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4AC3D1BB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08F1E3E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Biblioteka obrazów zawierająca minimum:</w:t>
            </w:r>
          </w:p>
          <w:p w14:paraId="18FEFD60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ścieżki nerwowe na zamarzniętych ciałach</w:t>
            </w:r>
          </w:p>
          <w:p w14:paraId="6EB0591B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rozdzielczość do 50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μm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na zamrożonych ciałach</w:t>
            </w:r>
          </w:p>
          <w:p w14:paraId="043981DA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segmentowane wycinki histologiczne, minimum 1000 przypadków.</w:t>
            </w:r>
          </w:p>
          <w:p w14:paraId="224CD0E1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korelacja makro i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mikroanatomii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w czasie wykonywania</w:t>
            </w:r>
          </w:p>
          <w:p w14:paraId="21476F1B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ruch gałek ocznych i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optometria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na zamrożonych ciałach</w:t>
            </w:r>
          </w:p>
          <w:p w14:paraId="21762EC4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minimum 5 pełnych modeli ludzkiego ciała 3x męskie 2x żeńskie, w tym jeden model ukazujący stany patologiczne, wpływ czasu i chorób na starzejące się ciało</w:t>
            </w:r>
          </w:p>
          <w:p w14:paraId="513C625C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prosekcja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krok po kroku</w:t>
            </w:r>
          </w:p>
          <w:p w14:paraId="27CFA204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model człowieka do nauki anatomii topograficznej</w:t>
            </w:r>
          </w:p>
          <w:p w14:paraId="2B87F58D" w14:textId="32293815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układ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krażenia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, bicie serca i szczegółowy przepływ krwi na zamrożonych ciałach</w:t>
            </w:r>
          </w:p>
          <w:p w14:paraId="19E3EB6E" w14:textId="5C13515E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skany patologii i przypadków szczegółowych (min. 500 obrazów)</w:t>
            </w:r>
          </w:p>
          <w:p w14:paraId="57CBA032" w14:textId="7280EFA7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możliwość przeglądania dowolnych danych pochodzących  z badań MRI, CT czy USG</w:t>
            </w:r>
          </w:p>
          <w:p w14:paraId="39CD71B6" w14:textId="676FCD66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symulacje połączeń nerwowych od rdzenia nerwowego do konkretnego dermatomu. Minimum 50 dermatomów</w:t>
            </w:r>
          </w:p>
          <w:p w14:paraId="19901AE7" w14:textId="7C7659DA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min. 70 realistycznych obrazów pochodzących z sekcji zwłok</w:t>
            </w:r>
          </w:p>
          <w:p w14:paraId="4864C3D8" w14:textId="379EF027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3D ukazującą różne etapy porodu dziecka</w:t>
            </w:r>
          </w:p>
          <w:p w14:paraId="5CBA0A96" w14:textId="776CBEB0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ukazującą badanie za pomocą aparatu USG, obraz dynamicznie zmieniający się w korelacji z symulowaną głowicą.</w:t>
            </w:r>
          </w:p>
          <w:p w14:paraId="0A2E6904" w14:textId="34302F9A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badania endoskopowego</w:t>
            </w:r>
          </w:p>
          <w:p w14:paraId="3BE34311" w14:textId="23BA1123" w:rsidR="001F59F7" w:rsidRPr="00502C68" w:rsidRDefault="001F59F7" w:rsidP="00C22D30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lastRenderedPageBreak/>
              <w:t>- fizjologiczny model pracy serca, praca serca zsynchronizowana z EKG, z możliwością regulacji</w:t>
            </w:r>
          </w:p>
          <w:p w14:paraId="5551C25B" w14:textId="4E295BF8" w:rsidR="001F59F7" w:rsidRPr="00432EB1" w:rsidRDefault="001F59F7" w:rsidP="00C22D30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minimum 10 fizjologicznych ścieżek pokazujących pracę danego układu/narządu, w tym m.in. trawienie, kontrast przewodu pokarmowego, przepływ krwi, oddychanie.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C9A0B94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E5AECAC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502D086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477A3F9" w14:textId="77777777" w:rsidR="001F59F7" w:rsidRPr="00432EB1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stół musi mieć wbudowane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oprogramowanie zawierające model anatomiczny człowieka do nauki anatomii ogólnej.</w:t>
            </w:r>
          </w:p>
          <w:p w14:paraId="6AA83E4B" w14:textId="57FB5685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Biblioteka urządzenia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zawiera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szczegółowe obrazy anatomiczne różnych struktur anatomicznych umożliwiające dydaktykę na kierunkach medycznych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36AAC25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08C2180F" w14:textId="77777777" w:rsidTr="00072F41">
        <w:trPr>
          <w:trHeight w:val="312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818EA3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6EDE3F5B" w14:textId="3972D91A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możliwość przeprowadzenia egzaminu za pomocą wbudowanego narzędzia w formie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QUIZu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F317E2B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78616D9B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7B42B2F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5E99C7D" w14:textId="0CF731E0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s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ystem operacyjny komputera sterującego pracą stołu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musi pozwalać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na instalowanie dodatkowych aplikacji, w tym innych atlasów anatomicznych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7E254F55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B18FC91" w14:textId="77777777" w:rsidTr="002C1983">
        <w:trPr>
          <w:trHeight w:val="659"/>
        </w:trPr>
        <w:tc>
          <w:tcPr>
            <w:tcW w:w="709" w:type="dxa"/>
            <w:vMerge w:val="restart"/>
            <w:tcBorders>
              <w:top w:val="nil"/>
            </w:tcBorders>
            <w:tcMar>
              <w:top w:w="113" w:type="dxa"/>
              <w:bottom w:w="113" w:type="dxa"/>
            </w:tcMar>
            <w:vAlign w:val="center"/>
          </w:tcPr>
          <w:p w14:paraId="2B2029EA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BF4CEF4" w14:textId="60307A8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17642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Wirtualne rysowanie i zaznaczanie elementów wyświetlanych na stole (narzędzie „rysowanie”) możliwość zmiany koloru i grubości kreski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49B40B0E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48F52E2" w14:textId="77777777" w:rsidTr="00CA49C2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B3C89F6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C85837A" w14:textId="101622EB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k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omputer sterujący wraz z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źródłem obrazu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pozwalać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na ingerencje użytkownika w dane systemowe systemu operacyjnego oraz umożliwi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instalowanie dowolnych aplikacji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4911A26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53E8679" w14:textId="77777777" w:rsidTr="007D4C24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1028E498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BD647F4" w14:textId="087912D4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wbudowane złącza pozwalające na komunikacj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ę w sieci internetowej </w:t>
            </w:r>
            <w:r w:rsidRPr="00E25052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oraz pozwalające na przyłączanie innych źródeł obrazu </w:t>
            </w:r>
            <w:r w:rsidRPr="00E25052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br/>
              <w:t>i dźwięku.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</w:t>
            </w:r>
            <w:r w:rsidRPr="00D045CF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Możliwość prezentacji obrazu na dodatkowych ekranach lub rzutnikach zewnętrznych.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6931FFA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640A37B3" w14:textId="77777777" w:rsidTr="007D4C24">
        <w:trPr>
          <w:trHeight w:val="303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50CFE2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E7E4BD2" w14:textId="3EB6BD92" w:rsidR="001F59F7" w:rsidRPr="00804B36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804B36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możliwość przesyłania bezprzewodowo obrazu audio-video na zewnętrzne projektory lub telewizory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E2F9F96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6EEAB9D7" w14:textId="77777777" w:rsidTr="002C1983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1A4CA56B" w14:textId="57A4E2C3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E483E97" w14:textId="77777777" w:rsidR="00432EB1" w:rsidRPr="0082290C" w:rsidRDefault="00432EB1" w:rsidP="0018332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2290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Dane techniczne stołu (parametry minimalne):</w:t>
            </w:r>
          </w:p>
          <w:p w14:paraId="4495FDFF" w14:textId="769549F5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Przekątna ekranu minimum </w:t>
            </w:r>
            <w:r w:rsidR="00804B36" w:rsidRPr="00804B3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80</w:t>
            </w:r>
            <w:r w:rsidR="00432EB1" w:rsidRPr="00804B3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cali </w:t>
            </w:r>
          </w:p>
          <w:p w14:paraId="493E02FE" w14:textId="5AA86A34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Rozdzielczość ekranu minimum 3840x</w:t>
            </w:r>
            <w:r w:rsidR="00493FF9" w:rsidRPr="00493FF9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1080p</w:t>
            </w:r>
          </w:p>
          <w:p w14:paraId="0157E92A" w14:textId="42E30508" w:rsidR="00432EB1" w:rsidRPr="001F59F7" w:rsidRDefault="0082290C" w:rsidP="001F59F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Jasność maksymalna ekranu 600 cd/m²</w:t>
            </w:r>
          </w:p>
          <w:p w14:paraId="2498B412" w14:textId="5556CF14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Technologia dotyku ekranu: ekran dotykowy </w:t>
            </w:r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wielodotykowy  (</w:t>
            </w:r>
            <w:proofErr w:type="spellStart"/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multi-touch</w:t>
            </w:r>
            <w:proofErr w:type="spellEnd"/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7FC91F25" w14:textId="1A44EC0F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Rodzaj zabezpieczenia ekranu: hartowane szkło </w:t>
            </w:r>
          </w:p>
          <w:p w14:paraId="61BCD69F" w14:textId="4128A401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Stół zawiera złącza cyfrowe pozwalające na przyłączanie zewnętrznych monitorów i projektorów.</w:t>
            </w:r>
          </w:p>
          <w:p w14:paraId="248283E1" w14:textId="60AC643A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Powierzchnia stołu jest odporna na wielokrotne czyszczenie.</w:t>
            </w:r>
          </w:p>
          <w:p w14:paraId="3E0A1AB7" w14:textId="4EBE0C77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Obudowa stołu wyposażona jest w koła</w:t>
            </w:r>
            <w:r w:rsidR="00DC61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050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tym </w:t>
            </w:r>
            <w:r w:rsidR="00DC61C2" w:rsidRPr="00DC61C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minimum 2</w:t>
            </w:r>
            <w:r w:rsidR="00432EB1" w:rsidRPr="00DC61C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posiadające hamulce.</w:t>
            </w:r>
          </w:p>
          <w:p w14:paraId="24AFBF5D" w14:textId="6120C15B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Temperatura pracy </w:t>
            </w:r>
            <w:r w:rsidR="007F76B0" w:rsidRPr="007F76B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0-40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°C</w:t>
            </w:r>
          </w:p>
          <w:p w14:paraId="054D274F" w14:textId="3925E01C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Wilgotność tolerowana w trakcie pracy</w:t>
            </w:r>
            <w:r w:rsidR="00746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61C3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minimum w zakresie</w:t>
            </w:r>
            <w:r w:rsidR="00432EB1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46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61C3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10-60</w:t>
            </w:r>
            <w:r w:rsidR="001F59F7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7BE9B0FA" w14:textId="7D136DF5" w:rsid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Pobór mocy w trakcie pracy typowy </w:t>
            </w:r>
          </w:p>
          <w:p w14:paraId="2ECD3173" w14:textId="4E06BD0F" w:rsidR="004A0571" w:rsidRPr="004A0571" w:rsidRDefault="004A0571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A057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Ok</w:t>
            </w: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850W, maksymalny 1150W.</w:t>
            </w:r>
          </w:p>
          <w:p w14:paraId="4F375843" w14:textId="5E487048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Pobór mocy w trybie spoczynku &lt;1W</w:t>
            </w:r>
          </w:p>
          <w:p w14:paraId="1941DC7B" w14:textId="4CB06083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Zasilanie 230V</w:t>
            </w:r>
          </w:p>
          <w:p w14:paraId="0EB421DE" w14:textId="648258E9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Klawiatura oraz mysz bezprzewodowa</w:t>
            </w:r>
          </w:p>
          <w:p w14:paraId="68C1DB51" w14:textId="77777777" w:rsidR="0069245C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Wymiary</w:t>
            </w:r>
            <w:r w:rsidR="006924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333947" w14:textId="72FCF439" w:rsidR="004A04E1" w:rsidRDefault="004A04E1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Wymiary minimum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: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br/>
              <w:t>- długość 200</w:t>
            </w:r>
            <w:r w:rsidR="00F4097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A777D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c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</w:t>
            </w:r>
          </w:p>
          <w:p w14:paraId="63A81EE0" w14:textId="2F9080D2" w:rsidR="00AA777D" w:rsidRDefault="00AA777D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- szerokość 70 cm</w:t>
            </w:r>
          </w:p>
          <w:p w14:paraId="0972C062" w14:textId="03DD719E" w:rsidR="005075BE" w:rsidRPr="001F59F7" w:rsidRDefault="00F4097E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- w</w:t>
            </w:r>
            <w:r w:rsidR="00AA777D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ysokość </w:t>
            </w: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80 cm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6A6A4A9D" w14:textId="77777777" w:rsidR="005075B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8FDCF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83BD2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452BA0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0DF920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494A9F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FCC2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0B0AFE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087B3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CD7BA6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E0471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648B9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EC67E8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2EA846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F6FFC4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BE44A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6C507B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FE8FBC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22B949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1466C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E56D8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56A0ED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C5711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35128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1A5DA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BD9FA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11DB7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203EF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35F089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078B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D58BE8" w14:textId="77777777" w:rsidR="00E25052" w:rsidRP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671D6CFB" w14:textId="04C9F4BD" w:rsidR="00E25052" w:rsidRPr="0051375E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16545A2A" w14:textId="77777777" w:rsidTr="002C1983">
        <w:trPr>
          <w:trHeight w:val="61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3A19F0DE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03A3C0F" w14:textId="1EA634A1" w:rsidR="005075BE" w:rsidRPr="00BB44E9" w:rsidRDefault="00E02DC8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DC8">
              <w:rPr>
                <w:rFonts w:asciiTheme="minorHAnsi" w:hAnsiTheme="minorHAnsi" w:cstheme="minorHAnsi"/>
                <w:sz w:val="22"/>
                <w:szCs w:val="22"/>
              </w:rPr>
              <w:t>Stworzenie co najmniej dwóch różnych typów kont z różniącymi się uprawnieni</w:t>
            </w:r>
            <w:r w:rsidR="00792470">
              <w:rPr>
                <w:rFonts w:asciiTheme="minorHAnsi" w:hAnsiTheme="minorHAnsi" w:cstheme="minorHAnsi"/>
                <w:sz w:val="22"/>
                <w:szCs w:val="22"/>
              </w:rPr>
              <w:t>ami (administrator/użytkownik).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827B4EB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5C16" w:rsidRPr="0051375E" w14:paraId="5DD779C2" w14:textId="77777777" w:rsidTr="002C1983">
        <w:trPr>
          <w:trHeight w:val="1458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42829A4" w14:textId="77777777" w:rsidR="00CA5C16" w:rsidRPr="0051375E" w:rsidRDefault="00CA5C16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E2509E5" w14:textId="5D41D8DD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 xml:space="preserve">Akcesoria: </w:t>
            </w:r>
          </w:p>
          <w:p w14:paraId="6DF9A214" w14:textId="77777777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Przedłużacz zwijany bębnowy o długości min. 10 metrów.</w:t>
            </w:r>
          </w:p>
          <w:p w14:paraId="1CCBDE44" w14:textId="77777777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Środek do czyszczenia stołu – min. 2 szt.</w:t>
            </w:r>
          </w:p>
          <w:p w14:paraId="33D24D06" w14:textId="443F7922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Dedykowana mata ochronna/osłona zapobiegaj</w:t>
            </w:r>
            <w:r w:rsidR="00792470" w:rsidRPr="0069245C">
              <w:rPr>
                <w:rFonts w:asciiTheme="minorHAnsi" w:hAnsiTheme="minorHAnsi" w:cstheme="minorHAnsi"/>
                <w:sz w:val="22"/>
                <w:szCs w:val="22"/>
              </w:rPr>
              <w:t xml:space="preserve">ąca uszkodzeniom wyświetlacza.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5E1ADDB" w14:textId="4504F165" w:rsidR="00CA5C16" w:rsidRPr="0051375E" w:rsidRDefault="00CA5C16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5C16" w:rsidRPr="0051375E" w14:paraId="1F3D3E94" w14:textId="77777777" w:rsidTr="002C1983">
        <w:trPr>
          <w:trHeight w:val="67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1090D9A6" w14:textId="77777777" w:rsidR="00CA5C16" w:rsidRPr="0051375E" w:rsidRDefault="00CA5C16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24962CC" w14:textId="77777777" w:rsidR="001F59F7" w:rsidRDefault="00C44410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Wieczyst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licencj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na 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oprogramowanie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oprogramowanie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minimum w 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języku 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angielskim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3550DCD0" w14:textId="77777777" w:rsidR="001F59F7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odatkowo oprogramowanie języku polskim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parametr punktowany.</w:t>
            </w:r>
          </w:p>
          <w:p w14:paraId="32F7EE2A" w14:textId="77777777" w:rsidR="001F59F7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FFA6436" w14:textId="641AE377" w:rsidR="00CA5C16" w:rsidRPr="00C44410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oroczn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aktualizacj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przez  5 lat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518A60A" w14:textId="72CD7A33" w:rsidR="00A97DC1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Parametr punktowany o wadze max 20 pkt!</w:t>
            </w:r>
          </w:p>
          <w:p w14:paraId="6608263E" w14:textId="1A1B6289" w:rsidR="001F59F7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Oprogramowanie w języku angielskim – 0 pkt</w:t>
            </w:r>
            <w:r w:rsidR="00126CF6">
              <w:rPr>
                <w:rFonts w:asciiTheme="minorHAnsi" w:hAnsiTheme="minorHAnsi"/>
                <w:b/>
                <w:sz w:val="22"/>
                <w:szCs w:val="22"/>
              </w:rPr>
              <w:t>. (WYMAGANIE MINIMALNE)</w:t>
            </w:r>
          </w:p>
          <w:p w14:paraId="63E33A37" w14:textId="4CBCDB6D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Oprogramowanie w języku polskim – 20 pkt.</w:t>
            </w:r>
          </w:p>
        </w:tc>
      </w:tr>
      <w:tr w:rsidR="004F2543" w:rsidRPr="0051375E" w14:paraId="53EBA0D1" w14:textId="77777777" w:rsidTr="00183328">
        <w:tblPrEx>
          <w:tblLook w:val="04A0" w:firstRow="1" w:lastRow="0" w:firstColumn="1" w:lastColumn="0" w:noHBand="0" w:noVBand="1"/>
        </w:tblPrEx>
        <w:tc>
          <w:tcPr>
            <w:tcW w:w="1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CB697D6" w14:textId="77777777" w:rsidR="004F2543" w:rsidRPr="0069245C" w:rsidRDefault="004F2543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F73632" w:rsidRPr="0051375E" w14:paraId="05C12EF4" w14:textId="77777777" w:rsidTr="00183328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8554FC" w14:textId="74FF0A9E" w:rsidR="00F73632" w:rsidRPr="0051375E" w:rsidRDefault="00F73632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19FFF8" w14:textId="7871293F" w:rsidR="00F73632" w:rsidRPr="0069245C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Okres gwarancji – </w:t>
            </w:r>
            <w:r w:rsidR="00590B2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zgodnie z Formularzem oferty, 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licząc od dnia podpisania protokołu odbioru potwierdzającego prawidłową dostawę przedmiotu</w:t>
            </w:r>
            <w:r w:rsidR="003D6532"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zamówienia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6A8019" w14:textId="77777777" w:rsidR="00F73632" w:rsidRPr="0051375E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73632" w:rsidRPr="0051375E" w14:paraId="32BB5EAC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4E2654" w14:textId="01C086FF" w:rsidR="00F73632" w:rsidRPr="0051375E" w:rsidRDefault="00F73632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21597B" w14:textId="432DD69B" w:rsidR="00F73632" w:rsidRPr="0069245C" w:rsidRDefault="00F73632" w:rsidP="00183328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Nieodpłatne przeglądy techniczne </w:t>
            </w:r>
            <w:r w:rsidR="00E25052"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(min. raz na pół roku) 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przedmiotu zamówienia w okresie gwarancji (przy czym ostatni ww. przegląd nastąpi w okresie 30 dni przed upływem okresu gwarancji). 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430796" w14:textId="77777777" w:rsidR="00F73632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41714D9D" w14:textId="36AB4E69" w:rsidR="00F73632" w:rsidRPr="0051375E" w:rsidRDefault="00F73632" w:rsidP="0069245C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73632" w:rsidRPr="0051375E" w14:paraId="5FCF9D3B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FC5" w14:textId="77777777" w:rsidR="00F73632" w:rsidRPr="0051375E" w:rsidRDefault="00F73632" w:rsidP="0018332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6BF" w14:textId="3D965D43" w:rsidR="00F73632" w:rsidRPr="000B4BEE" w:rsidRDefault="00F73632" w:rsidP="00183328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Proszę podać deklarowaną ilość przeglądów w okresie gwarancji.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4C04F0" w14:textId="77777777" w:rsidR="00F73632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14:paraId="67F5E7EF" w14:textId="3BAE6CD5" w:rsidR="00F73632" w:rsidRPr="0051375E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B07E58" w:rsidRPr="0051375E" w14:paraId="7656C0F0" w14:textId="77777777" w:rsidTr="00183328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CFBF5E" w14:textId="06413AC9" w:rsidR="00B07E58" w:rsidRPr="0051375E" w:rsidRDefault="00B07E58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ED584F" w14:textId="241D26DF" w:rsidR="00B07E58" w:rsidRPr="003D6532" w:rsidRDefault="00B07E58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Serwis gwarancyjny i pogwarancyjny na terenie Polski prowadzony przez przeszkolony personel serwisowy.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B9DCC1" w14:textId="77777777" w:rsidR="00B07E58" w:rsidRPr="0051375E" w:rsidRDefault="00B07E58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07E58" w:rsidRPr="0051375E" w14:paraId="49A7FF4A" w14:textId="77777777" w:rsidTr="0018332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F3C440" w14:textId="77777777" w:rsidR="00B07E58" w:rsidRDefault="00B07E58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BCBD84" w14:textId="3A4B5CCB" w:rsidR="00B07E58" w:rsidRPr="000B4BEE" w:rsidRDefault="00B07E58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BF4ADE" w14:textId="77777777" w:rsidR="00B07E58" w:rsidRPr="0051375E" w:rsidRDefault="00B07E58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71204781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EF06E0D" w14:textId="67F874C3" w:rsidR="00CA5C16" w:rsidRPr="0051375E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BAB274" w14:textId="26F46D29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wymiennych, akcesoriów od daty podpisania protokołu odbioru przez minimalnie 5 lat.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AE7736" w14:textId="77777777" w:rsidR="00CA5C16" w:rsidRPr="0051375E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17C308F3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154ED1" w14:textId="44695D84" w:rsidR="00CA5C16" w:rsidRPr="0051375E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AC2C94" w14:textId="797FFDD3" w:rsidR="00CA5C16" w:rsidRPr="0071493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1493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Konfiguracja, instalacja, montaż niezbędnych akcesoriów oraz wpięcie do sieci w miejscu wskazanym przez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Zamawiającego</w:t>
            </w:r>
            <w:r w:rsidRPr="00714936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  <w:p w14:paraId="0B7D952D" w14:textId="7A777DF6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Instruktaż  techniczny podczas instalacji lub w ustalonym z Zamawiającym terminie.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A64572" w14:textId="77777777" w:rsidR="00CA5C16" w:rsidRPr="0051375E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1E573B65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6A084C" w14:textId="1276F0C3" w:rsidR="00CA5C16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2F107F1" w14:textId="77777777" w:rsidR="00CA5C1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Szkolenie:</w:t>
            </w:r>
          </w:p>
          <w:p w14:paraId="2DD074CC" w14:textId="6E29389E" w:rsidR="00CA5C1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 m</w:t>
            </w: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inimum </w:t>
            </w:r>
            <w:r w:rsidR="00CB282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 dni szkolenia po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godzin dla kadry dydaktycznej</w:t>
            </w:r>
          </w:p>
          <w:p w14:paraId="5BCD0DEB" w14:textId="38A60442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 minimum</w:t>
            </w:r>
            <w:r w:rsidR="00CB282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2 dni szkolenia po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8 godzin</w:t>
            </w:r>
            <w:r w:rsidR="001F59F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>dla kadry technicznej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FC04F6" w14:textId="0872A3D2" w:rsidR="00CA5C16" w:rsidRPr="00A97DC1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256C672" w14:textId="1F0C70E5" w:rsidR="000B4BEE" w:rsidRDefault="000B4BEE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19733028" w14:textId="6EACF528" w:rsidR="00444685" w:rsidRPr="00AB7DFF" w:rsidRDefault="00444685" w:rsidP="00444685">
      <w:pPr>
        <w:rPr>
          <w:rFonts w:asciiTheme="minorHAnsi" w:hAnsiTheme="minorHAnsi" w:cs="Arial"/>
          <w:sz w:val="16"/>
          <w:szCs w:val="16"/>
        </w:rPr>
      </w:pPr>
      <w:r w:rsidRPr="00AB7DFF">
        <w:rPr>
          <w:rFonts w:asciiTheme="minorHAnsi" w:hAnsiTheme="minorHAnsi" w:cs="Arial"/>
          <w:sz w:val="16"/>
          <w:szCs w:val="16"/>
        </w:rPr>
        <w:t xml:space="preserve">___________________________ 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                 __________________________________________________</w:t>
      </w:r>
    </w:p>
    <w:p w14:paraId="09DC7E64" w14:textId="77777777" w:rsidR="00A97DC1" w:rsidRPr="00F72628" w:rsidRDefault="00444685" w:rsidP="00A97DC1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AB7DFF">
        <w:rPr>
          <w:rFonts w:asciiTheme="minorHAnsi" w:hAnsiTheme="minorHAnsi" w:cs="Arial"/>
          <w:i/>
          <w:sz w:val="16"/>
          <w:szCs w:val="16"/>
        </w:rPr>
        <w:t xml:space="preserve">             Data   </w:t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                    </w:t>
      </w:r>
      <w:r w:rsidR="000B4BE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</w:t>
      </w:r>
      <w:r w:rsidRPr="00AB7DFF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14:paraId="76829008" w14:textId="5B201975" w:rsidR="00A97DC1" w:rsidRPr="0092402E" w:rsidRDefault="00A97DC1" w:rsidP="005F37C6">
      <w:pPr>
        <w:pStyle w:val="NormalnyWeb"/>
        <w:spacing w:before="0" w:beforeAutospacing="0" w:after="0" w:afterAutospacing="0"/>
        <w:jc w:val="left"/>
        <w:rPr>
          <w:rFonts w:asciiTheme="minorHAnsi" w:hAnsiTheme="minorHAnsi" w:cs="Arial"/>
          <w:i/>
          <w:sz w:val="16"/>
          <w:szCs w:val="16"/>
        </w:rPr>
      </w:pPr>
    </w:p>
    <w:sectPr w:rsidR="00A97DC1" w:rsidRPr="0092402E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464B" w14:textId="77777777" w:rsidR="00D33241" w:rsidRDefault="00D33241">
      <w:r>
        <w:separator/>
      </w:r>
    </w:p>
  </w:endnote>
  <w:endnote w:type="continuationSeparator" w:id="0">
    <w:p w14:paraId="449FF22C" w14:textId="77777777" w:rsidR="00D33241" w:rsidRDefault="00D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99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18C90" w14:textId="4EF0D761" w:rsidR="00590B2B" w:rsidRDefault="00590B2B">
            <w:pPr>
              <w:pStyle w:val="Stopka"/>
              <w:jc w:val="center"/>
            </w:pPr>
            <w:r w:rsidRPr="00590B2B">
              <w:rPr>
                <w:sz w:val="16"/>
                <w:szCs w:val="16"/>
              </w:rPr>
              <w:t xml:space="preserve">Strona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PAGE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CF4FF6">
              <w:rPr>
                <w:b/>
                <w:bCs/>
                <w:noProof/>
                <w:sz w:val="16"/>
                <w:szCs w:val="16"/>
              </w:rPr>
              <w:t>5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  <w:r w:rsidRPr="00590B2B">
              <w:rPr>
                <w:sz w:val="16"/>
                <w:szCs w:val="16"/>
              </w:rPr>
              <w:t xml:space="preserve"> z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NUMPAGES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CF4FF6">
              <w:rPr>
                <w:b/>
                <w:bCs/>
                <w:noProof/>
                <w:sz w:val="16"/>
                <w:szCs w:val="16"/>
              </w:rPr>
              <w:t>11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21C7A1" w14:textId="77777777" w:rsidR="009F348A" w:rsidRDefault="009F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CD28" w14:textId="77777777" w:rsidR="00D33241" w:rsidRDefault="00D33241">
      <w:r>
        <w:separator/>
      </w:r>
    </w:p>
  </w:footnote>
  <w:footnote w:type="continuationSeparator" w:id="0">
    <w:p w14:paraId="3D8C7B12" w14:textId="77777777" w:rsidR="00D33241" w:rsidRDefault="00D3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D36" w14:textId="78BB3679" w:rsidR="009F348A" w:rsidRPr="00231BFB" w:rsidRDefault="00C62069" w:rsidP="00231BFB">
    <w:pPr>
      <w:tabs>
        <w:tab w:val="left" w:pos="5970"/>
      </w:tabs>
      <w:jc w:val="both"/>
      <w:rPr>
        <w:rFonts w:ascii="Bookman Old Style" w:eastAsia="Times New Roman" w:hAnsi="Bookman Old Style"/>
        <w:sz w:val="20"/>
        <w:szCs w:val="20"/>
      </w:rPr>
    </w:pPr>
    <w:r w:rsidRPr="00C76AD1">
      <w:rPr>
        <w:rFonts w:ascii="Bookman Old Style" w:eastAsia="Times New Roman" w:hAnsi="Bookman Old Style" w:cs="Arial"/>
        <w:i/>
        <w:sz w:val="17"/>
        <w:szCs w:val="20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F68"/>
    <w:multiLevelType w:val="hybridMultilevel"/>
    <w:tmpl w:val="8EB06140"/>
    <w:lvl w:ilvl="0" w:tplc="EFD0B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38E8"/>
    <w:multiLevelType w:val="hybridMultilevel"/>
    <w:tmpl w:val="3A8215FE"/>
    <w:lvl w:ilvl="0" w:tplc="F892C6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7E714C"/>
    <w:multiLevelType w:val="hybridMultilevel"/>
    <w:tmpl w:val="92929432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807948"/>
    <w:multiLevelType w:val="hybridMultilevel"/>
    <w:tmpl w:val="0CC2CF26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38BE0F9B"/>
    <w:multiLevelType w:val="hybridMultilevel"/>
    <w:tmpl w:val="C000612E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D5CFF"/>
    <w:multiLevelType w:val="hybridMultilevel"/>
    <w:tmpl w:val="DD7EBE6A"/>
    <w:lvl w:ilvl="0" w:tplc="E26611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780B"/>
    <w:multiLevelType w:val="hybridMultilevel"/>
    <w:tmpl w:val="14C888CE"/>
    <w:lvl w:ilvl="0" w:tplc="4410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3FB3"/>
    <w:multiLevelType w:val="hybridMultilevel"/>
    <w:tmpl w:val="47029054"/>
    <w:lvl w:ilvl="0" w:tplc="E1FC01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BE61FE"/>
    <w:multiLevelType w:val="hybridMultilevel"/>
    <w:tmpl w:val="20E2FDC4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13434"/>
    <w:multiLevelType w:val="hybridMultilevel"/>
    <w:tmpl w:val="D0DAD90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6C3D4E"/>
    <w:multiLevelType w:val="hybridMultilevel"/>
    <w:tmpl w:val="E10885E6"/>
    <w:lvl w:ilvl="0" w:tplc="D3A85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F21B5F"/>
    <w:multiLevelType w:val="hybridMultilevel"/>
    <w:tmpl w:val="C02C0610"/>
    <w:lvl w:ilvl="0" w:tplc="F8D8FE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8"/>
  </w:num>
  <w:num w:numId="7">
    <w:abstractNumId w:val="12"/>
  </w:num>
  <w:num w:numId="8">
    <w:abstractNumId w:val="18"/>
  </w:num>
  <w:num w:numId="9">
    <w:abstractNumId w:val="16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9"/>
  </w:num>
  <w:num w:numId="19">
    <w:abstractNumId w:val="4"/>
  </w:num>
  <w:num w:numId="20">
    <w:abstractNumId w:val="13"/>
  </w:num>
  <w:num w:numId="21">
    <w:abstractNumId w:val="14"/>
  </w:num>
  <w:num w:numId="22">
    <w:abstractNumId w:val="7"/>
  </w:num>
  <w:num w:numId="23">
    <w:abstractNumId w:val="10"/>
  </w:num>
  <w:num w:numId="24">
    <w:abstractNumId w:val="23"/>
  </w:num>
  <w:num w:numId="25">
    <w:abstractNumId w:val="1"/>
  </w:num>
  <w:num w:numId="26">
    <w:abstractNumId w:val="17"/>
  </w:num>
  <w:num w:numId="27">
    <w:abstractNumId w:val="15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98"/>
    <w:rsid w:val="00003F58"/>
    <w:rsid w:val="000106ED"/>
    <w:rsid w:val="00017681"/>
    <w:rsid w:val="00024315"/>
    <w:rsid w:val="00034BBE"/>
    <w:rsid w:val="00037519"/>
    <w:rsid w:val="00040B5B"/>
    <w:rsid w:val="00041007"/>
    <w:rsid w:val="00052F33"/>
    <w:rsid w:val="00060FC2"/>
    <w:rsid w:val="000719BD"/>
    <w:rsid w:val="00073DC4"/>
    <w:rsid w:val="000743CE"/>
    <w:rsid w:val="00075EED"/>
    <w:rsid w:val="00083750"/>
    <w:rsid w:val="00083CF3"/>
    <w:rsid w:val="000847F5"/>
    <w:rsid w:val="00085F55"/>
    <w:rsid w:val="00086A0A"/>
    <w:rsid w:val="00090A74"/>
    <w:rsid w:val="000958F3"/>
    <w:rsid w:val="000A4062"/>
    <w:rsid w:val="000A46FF"/>
    <w:rsid w:val="000A6018"/>
    <w:rsid w:val="000B4BEE"/>
    <w:rsid w:val="000B6CC1"/>
    <w:rsid w:val="000B7DC5"/>
    <w:rsid w:val="000C72E4"/>
    <w:rsid w:val="000D3D05"/>
    <w:rsid w:val="000F4471"/>
    <w:rsid w:val="00101B66"/>
    <w:rsid w:val="00103C2A"/>
    <w:rsid w:val="00106775"/>
    <w:rsid w:val="001105CD"/>
    <w:rsid w:val="00114DC6"/>
    <w:rsid w:val="001203C5"/>
    <w:rsid w:val="001211A1"/>
    <w:rsid w:val="00123603"/>
    <w:rsid w:val="00124AD5"/>
    <w:rsid w:val="00124F37"/>
    <w:rsid w:val="00126CF6"/>
    <w:rsid w:val="00127ABA"/>
    <w:rsid w:val="001316E9"/>
    <w:rsid w:val="00135DBF"/>
    <w:rsid w:val="00137490"/>
    <w:rsid w:val="001427E7"/>
    <w:rsid w:val="0014303E"/>
    <w:rsid w:val="00144FC5"/>
    <w:rsid w:val="00151241"/>
    <w:rsid w:val="00151E69"/>
    <w:rsid w:val="001548F5"/>
    <w:rsid w:val="00172B4C"/>
    <w:rsid w:val="001806CA"/>
    <w:rsid w:val="00182956"/>
    <w:rsid w:val="00183328"/>
    <w:rsid w:val="001B2253"/>
    <w:rsid w:val="001B229B"/>
    <w:rsid w:val="001B7BCD"/>
    <w:rsid w:val="001C1986"/>
    <w:rsid w:val="001C6C90"/>
    <w:rsid w:val="001D68A7"/>
    <w:rsid w:val="001E15B1"/>
    <w:rsid w:val="001E29D1"/>
    <w:rsid w:val="001F54DE"/>
    <w:rsid w:val="001F59F7"/>
    <w:rsid w:val="002009AA"/>
    <w:rsid w:val="00210761"/>
    <w:rsid w:val="002141D6"/>
    <w:rsid w:val="0021465B"/>
    <w:rsid w:val="00221772"/>
    <w:rsid w:val="002224A0"/>
    <w:rsid w:val="00227B18"/>
    <w:rsid w:val="002319D4"/>
    <w:rsid w:val="00231BFB"/>
    <w:rsid w:val="00233591"/>
    <w:rsid w:val="00235837"/>
    <w:rsid w:val="00235B55"/>
    <w:rsid w:val="00235C35"/>
    <w:rsid w:val="00251228"/>
    <w:rsid w:val="0026137F"/>
    <w:rsid w:val="00266425"/>
    <w:rsid w:val="0027661F"/>
    <w:rsid w:val="00277B1F"/>
    <w:rsid w:val="002839E7"/>
    <w:rsid w:val="002A45C3"/>
    <w:rsid w:val="002C1983"/>
    <w:rsid w:val="002C28AB"/>
    <w:rsid w:val="002D401D"/>
    <w:rsid w:val="002D4AD1"/>
    <w:rsid w:val="002E29AC"/>
    <w:rsid w:val="002E4A79"/>
    <w:rsid w:val="002E61F2"/>
    <w:rsid w:val="002F7AB1"/>
    <w:rsid w:val="002F7C18"/>
    <w:rsid w:val="00305876"/>
    <w:rsid w:val="0031300E"/>
    <w:rsid w:val="00321483"/>
    <w:rsid w:val="0032755E"/>
    <w:rsid w:val="003417CA"/>
    <w:rsid w:val="003427D4"/>
    <w:rsid w:val="0034682A"/>
    <w:rsid w:val="0035005D"/>
    <w:rsid w:val="003642D6"/>
    <w:rsid w:val="00370C78"/>
    <w:rsid w:val="00371940"/>
    <w:rsid w:val="00372BAC"/>
    <w:rsid w:val="0037673D"/>
    <w:rsid w:val="00390227"/>
    <w:rsid w:val="003B6616"/>
    <w:rsid w:val="003C0A4D"/>
    <w:rsid w:val="003D6532"/>
    <w:rsid w:val="003E6B04"/>
    <w:rsid w:val="00405860"/>
    <w:rsid w:val="00412FC8"/>
    <w:rsid w:val="0041410A"/>
    <w:rsid w:val="00432EB1"/>
    <w:rsid w:val="00434A2C"/>
    <w:rsid w:val="00444685"/>
    <w:rsid w:val="00454378"/>
    <w:rsid w:val="00454B54"/>
    <w:rsid w:val="004626D0"/>
    <w:rsid w:val="00466CE5"/>
    <w:rsid w:val="0047182C"/>
    <w:rsid w:val="00485828"/>
    <w:rsid w:val="00486B2A"/>
    <w:rsid w:val="00490537"/>
    <w:rsid w:val="00493FF9"/>
    <w:rsid w:val="004A04E1"/>
    <w:rsid w:val="004A0571"/>
    <w:rsid w:val="004A2510"/>
    <w:rsid w:val="004B360B"/>
    <w:rsid w:val="004D71E5"/>
    <w:rsid w:val="004E46AD"/>
    <w:rsid w:val="004E7984"/>
    <w:rsid w:val="004E7B8E"/>
    <w:rsid w:val="004E7BED"/>
    <w:rsid w:val="004F2334"/>
    <w:rsid w:val="004F2543"/>
    <w:rsid w:val="004F2703"/>
    <w:rsid w:val="00500601"/>
    <w:rsid w:val="00502C68"/>
    <w:rsid w:val="00503DA7"/>
    <w:rsid w:val="005075BE"/>
    <w:rsid w:val="00507988"/>
    <w:rsid w:val="00510554"/>
    <w:rsid w:val="0051165A"/>
    <w:rsid w:val="005125D6"/>
    <w:rsid w:val="005133B8"/>
    <w:rsid w:val="0051375E"/>
    <w:rsid w:val="0051482F"/>
    <w:rsid w:val="005156F5"/>
    <w:rsid w:val="00530499"/>
    <w:rsid w:val="0053586B"/>
    <w:rsid w:val="0054180B"/>
    <w:rsid w:val="0054523B"/>
    <w:rsid w:val="0056039F"/>
    <w:rsid w:val="00565542"/>
    <w:rsid w:val="0058327D"/>
    <w:rsid w:val="00585671"/>
    <w:rsid w:val="00590B2B"/>
    <w:rsid w:val="005A10C6"/>
    <w:rsid w:val="005A3CAC"/>
    <w:rsid w:val="005B238C"/>
    <w:rsid w:val="005B2DB3"/>
    <w:rsid w:val="005B515A"/>
    <w:rsid w:val="005B701F"/>
    <w:rsid w:val="005B7EB5"/>
    <w:rsid w:val="005C24FF"/>
    <w:rsid w:val="005C3C23"/>
    <w:rsid w:val="005E4A39"/>
    <w:rsid w:val="005E4C23"/>
    <w:rsid w:val="005F37C6"/>
    <w:rsid w:val="005F681A"/>
    <w:rsid w:val="005F7803"/>
    <w:rsid w:val="00600279"/>
    <w:rsid w:val="00605EB6"/>
    <w:rsid w:val="006245F1"/>
    <w:rsid w:val="0064663A"/>
    <w:rsid w:val="00652807"/>
    <w:rsid w:val="0065659D"/>
    <w:rsid w:val="00657660"/>
    <w:rsid w:val="00662BCC"/>
    <w:rsid w:val="00676205"/>
    <w:rsid w:val="006819C6"/>
    <w:rsid w:val="00683111"/>
    <w:rsid w:val="0069004C"/>
    <w:rsid w:val="0069245C"/>
    <w:rsid w:val="006A2131"/>
    <w:rsid w:val="006A3BFC"/>
    <w:rsid w:val="006B1553"/>
    <w:rsid w:val="006C4790"/>
    <w:rsid w:val="006D48BE"/>
    <w:rsid w:val="006F3142"/>
    <w:rsid w:val="006F5A2B"/>
    <w:rsid w:val="007000BE"/>
    <w:rsid w:val="007059B8"/>
    <w:rsid w:val="00714936"/>
    <w:rsid w:val="00722894"/>
    <w:rsid w:val="00722C83"/>
    <w:rsid w:val="00730630"/>
    <w:rsid w:val="00731DD2"/>
    <w:rsid w:val="00737154"/>
    <w:rsid w:val="007407B6"/>
    <w:rsid w:val="0074167C"/>
    <w:rsid w:val="00742971"/>
    <w:rsid w:val="007461C3"/>
    <w:rsid w:val="00746B65"/>
    <w:rsid w:val="00750A61"/>
    <w:rsid w:val="00750ECB"/>
    <w:rsid w:val="0076673D"/>
    <w:rsid w:val="007705EA"/>
    <w:rsid w:val="00783C54"/>
    <w:rsid w:val="00784CF9"/>
    <w:rsid w:val="00792470"/>
    <w:rsid w:val="007A2454"/>
    <w:rsid w:val="007A4872"/>
    <w:rsid w:val="007D2D64"/>
    <w:rsid w:val="007D4914"/>
    <w:rsid w:val="007E4BCB"/>
    <w:rsid w:val="007E60F3"/>
    <w:rsid w:val="007E7085"/>
    <w:rsid w:val="007F02B5"/>
    <w:rsid w:val="007F17B4"/>
    <w:rsid w:val="007F76B0"/>
    <w:rsid w:val="00800894"/>
    <w:rsid w:val="00804B36"/>
    <w:rsid w:val="00812C70"/>
    <w:rsid w:val="00815037"/>
    <w:rsid w:val="00816A1A"/>
    <w:rsid w:val="0082290C"/>
    <w:rsid w:val="008238BB"/>
    <w:rsid w:val="0084285F"/>
    <w:rsid w:val="00844688"/>
    <w:rsid w:val="0084772D"/>
    <w:rsid w:val="008505D0"/>
    <w:rsid w:val="0086127D"/>
    <w:rsid w:val="008753C6"/>
    <w:rsid w:val="00881D83"/>
    <w:rsid w:val="00885642"/>
    <w:rsid w:val="00895CD8"/>
    <w:rsid w:val="008A326A"/>
    <w:rsid w:val="008A4B19"/>
    <w:rsid w:val="008B03CA"/>
    <w:rsid w:val="008B3C99"/>
    <w:rsid w:val="008B4878"/>
    <w:rsid w:val="008B4B6D"/>
    <w:rsid w:val="008C0956"/>
    <w:rsid w:val="008C7F47"/>
    <w:rsid w:val="008E280D"/>
    <w:rsid w:val="008E3AE4"/>
    <w:rsid w:val="008E4C2C"/>
    <w:rsid w:val="008E5E6F"/>
    <w:rsid w:val="008F0411"/>
    <w:rsid w:val="008F25F0"/>
    <w:rsid w:val="008F2BBA"/>
    <w:rsid w:val="008F2BF0"/>
    <w:rsid w:val="008F5891"/>
    <w:rsid w:val="00900A88"/>
    <w:rsid w:val="00902891"/>
    <w:rsid w:val="00906D5B"/>
    <w:rsid w:val="00922ED8"/>
    <w:rsid w:val="00923FEE"/>
    <w:rsid w:val="0092402E"/>
    <w:rsid w:val="009311E6"/>
    <w:rsid w:val="0093724E"/>
    <w:rsid w:val="0094415F"/>
    <w:rsid w:val="009443A0"/>
    <w:rsid w:val="00950AFD"/>
    <w:rsid w:val="00954785"/>
    <w:rsid w:val="00955B41"/>
    <w:rsid w:val="00960662"/>
    <w:rsid w:val="00982B51"/>
    <w:rsid w:val="0098494F"/>
    <w:rsid w:val="0099420F"/>
    <w:rsid w:val="009A020B"/>
    <w:rsid w:val="009A3FD4"/>
    <w:rsid w:val="009A6DC7"/>
    <w:rsid w:val="009A713A"/>
    <w:rsid w:val="009B6666"/>
    <w:rsid w:val="009B748B"/>
    <w:rsid w:val="009C05B7"/>
    <w:rsid w:val="009C1937"/>
    <w:rsid w:val="009D219A"/>
    <w:rsid w:val="009D4212"/>
    <w:rsid w:val="009E16D3"/>
    <w:rsid w:val="009E18BD"/>
    <w:rsid w:val="009E1BDE"/>
    <w:rsid w:val="009E268C"/>
    <w:rsid w:val="009E2781"/>
    <w:rsid w:val="009E7A1C"/>
    <w:rsid w:val="009F348A"/>
    <w:rsid w:val="009F35F3"/>
    <w:rsid w:val="009F5545"/>
    <w:rsid w:val="009F706F"/>
    <w:rsid w:val="00A10385"/>
    <w:rsid w:val="00A12F01"/>
    <w:rsid w:val="00A139FF"/>
    <w:rsid w:val="00A14D87"/>
    <w:rsid w:val="00A1566D"/>
    <w:rsid w:val="00A160A8"/>
    <w:rsid w:val="00A22967"/>
    <w:rsid w:val="00A27E92"/>
    <w:rsid w:val="00A31327"/>
    <w:rsid w:val="00A33D9A"/>
    <w:rsid w:val="00A40B1F"/>
    <w:rsid w:val="00A43B60"/>
    <w:rsid w:val="00A43DA3"/>
    <w:rsid w:val="00A5215B"/>
    <w:rsid w:val="00A606ED"/>
    <w:rsid w:val="00A6114E"/>
    <w:rsid w:val="00A61F5A"/>
    <w:rsid w:val="00A70E9F"/>
    <w:rsid w:val="00A97DC1"/>
    <w:rsid w:val="00AA039F"/>
    <w:rsid w:val="00AA08E8"/>
    <w:rsid w:val="00AA2CDD"/>
    <w:rsid w:val="00AA4714"/>
    <w:rsid w:val="00AA5F79"/>
    <w:rsid w:val="00AA6C8C"/>
    <w:rsid w:val="00AA777D"/>
    <w:rsid w:val="00AB367B"/>
    <w:rsid w:val="00AB3C0A"/>
    <w:rsid w:val="00AB4217"/>
    <w:rsid w:val="00AC026E"/>
    <w:rsid w:val="00AC36E1"/>
    <w:rsid w:val="00AD05D6"/>
    <w:rsid w:val="00AD1D29"/>
    <w:rsid w:val="00AD5211"/>
    <w:rsid w:val="00AD7C50"/>
    <w:rsid w:val="00AF01C3"/>
    <w:rsid w:val="00B07E58"/>
    <w:rsid w:val="00B177A4"/>
    <w:rsid w:val="00B2209C"/>
    <w:rsid w:val="00B22F04"/>
    <w:rsid w:val="00B244D6"/>
    <w:rsid w:val="00B27C11"/>
    <w:rsid w:val="00B320E6"/>
    <w:rsid w:val="00B32545"/>
    <w:rsid w:val="00B349EE"/>
    <w:rsid w:val="00B52FCD"/>
    <w:rsid w:val="00B658DC"/>
    <w:rsid w:val="00B71254"/>
    <w:rsid w:val="00B74D14"/>
    <w:rsid w:val="00B75099"/>
    <w:rsid w:val="00B96384"/>
    <w:rsid w:val="00B97409"/>
    <w:rsid w:val="00BA1032"/>
    <w:rsid w:val="00BA531A"/>
    <w:rsid w:val="00BA53F7"/>
    <w:rsid w:val="00BA7F81"/>
    <w:rsid w:val="00BB289C"/>
    <w:rsid w:val="00BB39BA"/>
    <w:rsid w:val="00BB44E9"/>
    <w:rsid w:val="00BB5BDA"/>
    <w:rsid w:val="00BC0697"/>
    <w:rsid w:val="00BC504B"/>
    <w:rsid w:val="00BC7473"/>
    <w:rsid w:val="00BD0199"/>
    <w:rsid w:val="00BD0539"/>
    <w:rsid w:val="00BE001E"/>
    <w:rsid w:val="00BE05E9"/>
    <w:rsid w:val="00BE3252"/>
    <w:rsid w:val="00BF12CC"/>
    <w:rsid w:val="00BF3E85"/>
    <w:rsid w:val="00C05024"/>
    <w:rsid w:val="00C20F3D"/>
    <w:rsid w:val="00C22D30"/>
    <w:rsid w:val="00C307BF"/>
    <w:rsid w:val="00C31C5F"/>
    <w:rsid w:val="00C423A5"/>
    <w:rsid w:val="00C42C0B"/>
    <w:rsid w:val="00C44410"/>
    <w:rsid w:val="00C62069"/>
    <w:rsid w:val="00C641D8"/>
    <w:rsid w:val="00C7437C"/>
    <w:rsid w:val="00C75308"/>
    <w:rsid w:val="00C77228"/>
    <w:rsid w:val="00C852EC"/>
    <w:rsid w:val="00C86854"/>
    <w:rsid w:val="00C93844"/>
    <w:rsid w:val="00C94D0D"/>
    <w:rsid w:val="00C95A23"/>
    <w:rsid w:val="00C9707B"/>
    <w:rsid w:val="00CA013A"/>
    <w:rsid w:val="00CA1F23"/>
    <w:rsid w:val="00CA233A"/>
    <w:rsid w:val="00CA5C16"/>
    <w:rsid w:val="00CB2827"/>
    <w:rsid w:val="00CD069A"/>
    <w:rsid w:val="00CE3BD7"/>
    <w:rsid w:val="00CF4FF6"/>
    <w:rsid w:val="00D01060"/>
    <w:rsid w:val="00D045CF"/>
    <w:rsid w:val="00D06210"/>
    <w:rsid w:val="00D07D6E"/>
    <w:rsid w:val="00D130D7"/>
    <w:rsid w:val="00D17FF9"/>
    <w:rsid w:val="00D33241"/>
    <w:rsid w:val="00D4073A"/>
    <w:rsid w:val="00D42498"/>
    <w:rsid w:val="00D4377D"/>
    <w:rsid w:val="00D457C9"/>
    <w:rsid w:val="00D51EE0"/>
    <w:rsid w:val="00D539A5"/>
    <w:rsid w:val="00D61F58"/>
    <w:rsid w:val="00D7103F"/>
    <w:rsid w:val="00D858D4"/>
    <w:rsid w:val="00D90EEC"/>
    <w:rsid w:val="00D93CEA"/>
    <w:rsid w:val="00DA1F8E"/>
    <w:rsid w:val="00DA60EE"/>
    <w:rsid w:val="00DA71CE"/>
    <w:rsid w:val="00DB5237"/>
    <w:rsid w:val="00DB7608"/>
    <w:rsid w:val="00DC0520"/>
    <w:rsid w:val="00DC21FF"/>
    <w:rsid w:val="00DC2F66"/>
    <w:rsid w:val="00DC4090"/>
    <w:rsid w:val="00DC41CA"/>
    <w:rsid w:val="00DC61C2"/>
    <w:rsid w:val="00DD2206"/>
    <w:rsid w:val="00DD33C5"/>
    <w:rsid w:val="00DD6397"/>
    <w:rsid w:val="00DD6583"/>
    <w:rsid w:val="00DE0133"/>
    <w:rsid w:val="00DF4F9C"/>
    <w:rsid w:val="00E00327"/>
    <w:rsid w:val="00E02112"/>
    <w:rsid w:val="00E02DC8"/>
    <w:rsid w:val="00E03613"/>
    <w:rsid w:val="00E06722"/>
    <w:rsid w:val="00E07FF6"/>
    <w:rsid w:val="00E1242F"/>
    <w:rsid w:val="00E23CDC"/>
    <w:rsid w:val="00E25052"/>
    <w:rsid w:val="00E304BD"/>
    <w:rsid w:val="00E308AA"/>
    <w:rsid w:val="00E36DFC"/>
    <w:rsid w:val="00E63C62"/>
    <w:rsid w:val="00E7522F"/>
    <w:rsid w:val="00E76E93"/>
    <w:rsid w:val="00E7726B"/>
    <w:rsid w:val="00E849EC"/>
    <w:rsid w:val="00E96F5A"/>
    <w:rsid w:val="00E97BA0"/>
    <w:rsid w:val="00EA107E"/>
    <w:rsid w:val="00EB04E3"/>
    <w:rsid w:val="00ED1094"/>
    <w:rsid w:val="00ED418D"/>
    <w:rsid w:val="00ED4D47"/>
    <w:rsid w:val="00EE5838"/>
    <w:rsid w:val="00EE5898"/>
    <w:rsid w:val="00EE6711"/>
    <w:rsid w:val="00EE6E40"/>
    <w:rsid w:val="00EE7B65"/>
    <w:rsid w:val="00F01F57"/>
    <w:rsid w:val="00F1165E"/>
    <w:rsid w:val="00F17642"/>
    <w:rsid w:val="00F31B5A"/>
    <w:rsid w:val="00F336B8"/>
    <w:rsid w:val="00F345A0"/>
    <w:rsid w:val="00F36498"/>
    <w:rsid w:val="00F40381"/>
    <w:rsid w:val="00F4097E"/>
    <w:rsid w:val="00F40A0C"/>
    <w:rsid w:val="00F425EC"/>
    <w:rsid w:val="00F44760"/>
    <w:rsid w:val="00F60672"/>
    <w:rsid w:val="00F65113"/>
    <w:rsid w:val="00F65C9B"/>
    <w:rsid w:val="00F67534"/>
    <w:rsid w:val="00F72628"/>
    <w:rsid w:val="00F7310A"/>
    <w:rsid w:val="00F73632"/>
    <w:rsid w:val="00F74A58"/>
    <w:rsid w:val="00F84848"/>
    <w:rsid w:val="00F94742"/>
    <w:rsid w:val="00F94E6A"/>
    <w:rsid w:val="00F964C3"/>
    <w:rsid w:val="00F97285"/>
    <w:rsid w:val="00FA3E56"/>
    <w:rsid w:val="00FA43A1"/>
    <w:rsid w:val="00FA448D"/>
    <w:rsid w:val="00FA5068"/>
    <w:rsid w:val="00FB1E95"/>
    <w:rsid w:val="00FC1A85"/>
    <w:rsid w:val="00FC55D1"/>
    <w:rsid w:val="00FD782D"/>
    <w:rsid w:val="00FE18DE"/>
    <w:rsid w:val="00FE2584"/>
    <w:rsid w:val="00FE67FF"/>
    <w:rsid w:val="00FE7C19"/>
    <w:rsid w:val="00FF032A"/>
    <w:rsid w:val="00FF3F5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F74E"/>
  <w15:docId w15:val="{00671821-6842-44BC-96B8-10B9AE7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4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1BFB"/>
    <w:pPr>
      <w:keepNext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47182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231BF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ormalnyWeb">
    <w:name w:val="Normal (Web)"/>
    <w:basedOn w:val="Normalny"/>
    <w:rsid w:val="0044468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4D2C-BCA9-4387-866E-DA74E146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Zyla</dc:creator>
  <cp:keywords/>
  <dc:description/>
  <cp:lastModifiedBy>PPUZ</cp:lastModifiedBy>
  <cp:revision>4</cp:revision>
  <cp:lastPrinted>2023-10-18T10:45:00Z</cp:lastPrinted>
  <dcterms:created xsi:type="dcterms:W3CDTF">2023-10-24T10:22:00Z</dcterms:created>
  <dcterms:modified xsi:type="dcterms:W3CDTF">2023-10-30T08:27:00Z</dcterms:modified>
</cp:coreProperties>
</file>