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>załącznik nr 5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Rz.271.42.2023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zamówienia składane na podstawie art. 117 ust. 4 ustawy Pzp dotyczące robót budowlanych,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 nawierzchni jezdni drogi gminnej nr 180245W - ulicy Kolejowej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BodyText"/>
        <w:widowControl/>
        <w:numPr>
          <w:ilvl w:val="0"/>
          <w:numId w:val="5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/>
        <w:object>
          <v:shape id="control_shape_1" o:allowincell="t" style="width:464.8pt;height:39.6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roboty budowlane: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" o:allowincell="t" style="width:464.8pt;height:39.6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6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/>
        <w:object>
          <v:shape id="control_shape_3" o:allowincell="t" style="width:464.8pt;height:39.6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roboty budowlane: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64.8pt;height:39.6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 (w tym przez spółki cywilne).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212</Words>
  <Characters>1487</Characters>
  <CharactersWithSpaces>1680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2023-10-04T11:46:37Z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