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 xml:space="preserve">tryb podstawowy bez negocjacji - art. 275 pkt 1 ustawy </w:t>
      </w:r>
      <w:proofErr w:type="spellStart"/>
      <w:r w:rsidRPr="00C7671C">
        <w:rPr>
          <w:rFonts w:ascii="Arial" w:hAnsi="Arial" w:cs="Arial"/>
          <w:sz w:val="24"/>
          <w:szCs w:val="24"/>
        </w:rPr>
        <w:t>pzp</w:t>
      </w:r>
      <w:proofErr w:type="spellEnd"/>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519BB266"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E24184">
        <w:rPr>
          <w:rFonts w:ascii="Arial" w:hAnsi="Arial" w:cs="Arial"/>
          <w:b/>
          <w:sz w:val="22"/>
          <w:szCs w:val="22"/>
        </w:rPr>
        <w:t>jaj kurzych świeżych</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proofErr w:type="spellEnd"/>
      <w:r w:rsidRPr="00C7671C">
        <w:rPr>
          <w:rFonts w:ascii="Arial" w:hAnsi="Arial" w:cs="Arial"/>
          <w:b w:val="0"/>
          <w:bCs w:val="0"/>
          <w:sz w:val="24"/>
          <w:szCs w:val="24"/>
        </w:rPr>
        <w:br/>
        <w:t xml:space="preserve">ul. </w:t>
      </w:r>
      <w:proofErr w:type="spellStart"/>
      <w:r w:rsidRPr="00C7671C">
        <w:rPr>
          <w:rFonts w:ascii="Arial" w:hAnsi="Arial" w:cs="Arial"/>
          <w:b w:val="0"/>
          <w:bCs w:val="0"/>
          <w:sz w:val="24"/>
          <w:szCs w:val="24"/>
        </w:rPr>
        <w:t>Nitribitta</w:t>
      </w:r>
      <w:proofErr w:type="spellEnd"/>
      <w:r w:rsidRPr="00C7671C">
        <w:rPr>
          <w:rFonts w:ascii="Arial" w:hAnsi="Arial" w:cs="Arial"/>
          <w:b w:val="0"/>
          <w:bCs w:val="0"/>
          <w:sz w:val="24"/>
          <w:szCs w:val="24"/>
        </w:rPr>
        <w:t xml:space="preserve">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z przepisami ustawy z dnia 11 września 2019 r. - Prawo zamówień publicznych (</w:t>
      </w:r>
      <w:proofErr w:type="spellStart"/>
      <w:r w:rsidRPr="00C7671C">
        <w:rPr>
          <w:rFonts w:ascii="Arial" w:hAnsi="Arial" w:cs="Arial"/>
          <w:sz w:val="24"/>
          <w:szCs w:val="24"/>
        </w:rPr>
        <w:t>t.j</w:t>
      </w:r>
      <w:proofErr w:type="spellEnd"/>
      <w:r w:rsidRPr="00C7671C">
        <w:rPr>
          <w:rFonts w:ascii="Arial" w:hAnsi="Arial" w:cs="Arial"/>
          <w:sz w:val="24"/>
          <w:szCs w:val="24"/>
        </w:rPr>
        <w:t xml:space="preserve">.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5B0F81C3"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9D679D">
        <w:rPr>
          <w:rFonts w:ascii="Arial" w:hAnsi="Arial" w:cs="Arial"/>
          <w:b/>
          <w:bCs/>
        </w:rPr>
        <w:t>4</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75BDE863"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04</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Samodzielny Publiczny Zakład Opieki Zdrowotnej Sanatorium Uzdrowiskowe MSWiA w Krynicy - Zdroju im. Bł. Karoliny </w:t>
      </w:r>
      <w:proofErr w:type="spellStart"/>
      <w:r w:rsidRPr="00C7671C">
        <w:rPr>
          <w:rFonts w:ascii="Arial" w:hAnsi="Arial" w:cs="Arial"/>
          <w:sz w:val="24"/>
          <w:szCs w:val="24"/>
        </w:rPr>
        <w:t>Kózkówny</w:t>
      </w:r>
      <w:proofErr w:type="spellEnd"/>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 xml:space="preserve">ul. </w:t>
      </w:r>
      <w:proofErr w:type="spellStart"/>
      <w:r w:rsidRPr="00C7671C">
        <w:rPr>
          <w:rFonts w:ascii="Arial" w:hAnsi="Arial" w:cs="Arial"/>
          <w:sz w:val="24"/>
          <w:szCs w:val="24"/>
        </w:rPr>
        <w:t>Nitribitta</w:t>
      </w:r>
      <w:proofErr w:type="spellEnd"/>
      <w:r w:rsidRPr="00C7671C">
        <w:rPr>
          <w:rFonts w:ascii="Arial" w:hAnsi="Arial" w:cs="Arial"/>
          <w:sz w:val="24"/>
          <w:szCs w:val="24"/>
        </w:rPr>
        <w:t xml:space="preserve">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w:t>
      </w:r>
      <w:proofErr w:type="spellStart"/>
      <w:r w:rsidRPr="00C7671C">
        <w:rPr>
          <w:rFonts w:ascii="Arial" w:hAnsi="Arial" w:cs="Arial"/>
          <w:color w:val="auto"/>
        </w:rPr>
        <w:t>t.j</w:t>
      </w:r>
      <w:proofErr w:type="spellEnd"/>
      <w:r w:rsidRPr="00C7671C">
        <w:rPr>
          <w:rFonts w:ascii="Arial" w:hAnsi="Arial" w:cs="Arial"/>
          <w:color w:val="auto"/>
        </w:rPr>
        <w:t xml:space="preserve">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2EFFD60E"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9D679D">
        <w:rPr>
          <w:rFonts w:ascii="Arial" w:hAnsi="Arial" w:cs="Arial"/>
        </w:rPr>
        <w:t>jaj kurzych świeżych</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 Krynicy – Zdroju im. Bł. Karoliny </w:t>
      </w:r>
      <w:proofErr w:type="spellStart"/>
      <w:r w:rsidRPr="00F77B02">
        <w:rPr>
          <w:rFonts w:ascii="Arial" w:hAnsi="Arial" w:cs="Arial"/>
        </w:rPr>
        <w:t>Kózkówny</w:t>
      </w:r>
      <w:proofErr w:type="spellEnd"/>
      <w:r w:rsidRPr="00F77B02">
        <w:rPr>
          <w:rFonts w:ascii="Arial" w:hAnsi="Arial" w:cs="Arial"/>
        </w:rPr>
        <w:t>”</w:t>
      </w:r>
      <w:r w:rsidR="001203E3">
        <w:rPr>
          <w:rFonts w:ascii="Arial" w:hAnsi="Arial" w:cs="Arial"/>
        </w:rPr>
        <w:t xml:space="preserve"> </w:t>
      </w:r>
      <w:r w:rsidR="009D679D">
        <w:rPr>
          <w:rFonts w:ascii="Arial" w:hAnsi="Arial" w:cs="Arial"/>
        </w:rPr>
        <w:br/>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597A1B0" w14:textId="115115F5" w:rsidR="00D46662" w:rsidRPr="009D679D" w:rsidRDefault="009D679D" w:rsidP="009D679D">
      <w:pPr>
        <w:autoSpaceDE w:val="0"/>
        <w:autoSpaceDN w:val="0"/>
        <w:spacing w:line="276" w:lineRule="auto"/>
        <w:ind w:left="993" w:hanging="567"/>
        <w:jc w:val="both"/>
        <w:rPr>
          <w:rFonts w:ascii="Arial" w:hAnsi="Arial" w:cs="Arial"/>
        </w:rPr>
      </w:pPr>
      <w:r w:rsidRPr="009D679D">
        <w:rPr>
          <w:rFonts w:ascii="Arial" w:hAnsi="Arial" w:cs="Arial"/>
        </w:rPr>
        <w:t>03142500-3</w:t>
      </w:r>
      <w:r w:rsidR="00D46662" w:rsidRPr="009D679D">
        <w:rPr>
          <w:rFonts w:ascii="Arial" w:hAnsi="Arial" w:cs="Arial"/>
        </w:rPr>
        <w:t xml:space="preserve"> </w:t>
      </w:r>
      <w:r w:rsidRPr="009D679D">
        <w:rPr>
          <w:rFonts w:ascii="Arial" w:hAnsi="Arial" w:cs="Arial"/>
        </w:rPr>
        <w:t>Jaja</w:t>
      </w:r>
    </w:p>
    <w:p w14:paraId="7D9F8B50" w14:textId="77777777" w:rsidR="001B3D1B" w:rsidRPr="008178AB" w:rsidRDefault="001B3D1B" w:rsidP="00C7671C">
      <w:pPr>
        <w:autoSpaceDE w:val="0"/>
        <w:autoSpaceDN w:val="0"/>
        <w:adjustRightInd w:val="0"/>
        <w:spacing w:line="276" w:lineRule="auto"/>
        <w:ind w:left="426"/>
        <w:jc w:val="both"/>
        <w:rPr>
          <w:rFonts w:ascii="Arial" w:eastAsia="Arial" w:hAnsi="Arial" w:cs="Arial"/>
        </w:rPr>
      </w:pPr>
    </w:p>
    <w:p w14:paraId="1A0B79A6" w14:textId="0E265EED" w:rsidR="008178AB" w:rsidRPr="00776700" w:rsidRDefault="001B3D1B" w:rsidP="009470F5">
      <w:pPr>
        <w:autoSpaceDE w:val="0"/>
        <w:autoSpaceDN w:val="0"/>
        <w:spacing w:line="276" w:lineRule="auto"/>
        <w:jc w:val="both"/>
        <w:rPr>
          <w:rFonts w:ascii="Arial" w:eastAsia="Arial" w:hAnsi="Arial" w:cs="Arial"/>
        </w:rPr>
      </w:pPr>
      <w:r>
        <w:rPr>
          <w:rFonts w:ascii="Arial" w:eastAsia="Arial" w:hAnsi="Arial" w:cs="Arial"/>
        </w:rPr>
        <w:t xml:space="preserve">3.3 </w:t>
      </w:r>
      <w:r w:rsidRPr="009470F5">
        <w:rPr>
          <w:rFonts w:ascii="Arial" w:hAnsi="Arial" w:cs="Arial"/>
        </w:rPr>
        <w:t>Dostawy</w:t>
      </w:r>
      <w:r w:rsidRPr="00F0243F">
        <w:rPr>
          <w:rFonts w:ascii="Arial" w:eastAsia="Arial" w:hAnsi="Arial" w:cs="Arial"/>
          <w:color w:val="FF0000"/>
        </w:rPr>
        <w:t xml:space="preserve"> </w:t>
      </w:r>
      <w:r w:rsidRPr="00776700">
        <w:rPr>
          <w:rFonts w:ascii="Arial" w:eastAsia="Arial" w:hAnsi="Arial" w:cs="Arial"/>
        </w:rPr>
        <w:t xml:space="preserve">będą realizowane </w:t>
      </w:r>
      <w:r w:rsidR="00C404DD">
        <w:rPr>
          <w:rFonts w:ascii="Arial" w:eastAsia="Arial" w:hAnsi="Arial" w:cs="Arial"/>
        </w:rPr>
        <w:t>2</w:t>
      </w:r>
      <w:r w:rsidRPr="00776700">
        <w:rPr>
          <w:rFonts w:ascii="Arial" w:eastAsia="Arial" w:hAnsi="Arial" w:cs="Arial"/>
        </w:rPr>
        <w:t>x w tygodniu w godzinach 6.00-</w:t>
      </w:r>
      <w:r w:rsidR="00C404DD">
        <w:rPr>
          <w:rFonts w:ascii="Arial" w:eastAsia="Arial" w:hAnsi="Arial" w:cs="Arial"/>
        </w:rPr>
        <w:t>10</w:t>
      </w:r>
      <w:r w:rsidRPr="00776700">
        <w:rPr>
          <w:rFonts w:ascii="Arial" w:eastAsia="Arial" w:hAnsi="Arial" w:cs="Arial"/>
        </w:rPr>
        <w:t>.00</w:t>
      </w:r>
      <w:r w:rsidR="00A243B2" w:rsidRPr="00776700">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w:t>
      </w:r>
      <w:proofErr w:type="spellStart"/>
      <w:r w:rsidRPr="00141579">
        <w:rPr>
          <w:rFonts w:ascii="Arial" w:hAnsi="Arial" w:cs="Arial"/>
        </w:rPr>
        <w:t>późn</w:t>
      </w:r>
      <w:proofErr w:type="spellEnd"/>
      <w:r w:rsidRPr="00141579">
        <w:rPr>
          <w:rFonts w:ascii="Arial" w:hAnsi="Arial" w:cs="Arial"/>
        </w:rPr>
        <w:t xml:space="preserve">.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Wykonawca winien dysponować samochodami odpowiadającymi wymaganiom sanitarnym, określonym w ustawie z dnia 25 sierpnia 2006 r. o bezpieczeństwie żywności i żywienia (</w:t>
      </w:r>
      <w:proofErr w:type="spellStart"/>
      <w:r w:rsidRPr="00B749FA">
        <w:rPr>
          <w:rFonts w:ascii="Arial" w:hAnsi="Arial" w:cs="Arial"/>
        </w:rPr>
        <w:t>t.j</w:t>
      </w:r>
      <w:proofErr w:type="spellEnd"/>
      <w:r w:rsidRPr="00B749FA">
        <w:rPr>
          <w:rFonts w:ascii="Arial" w:hAnsi="Arial" w:cs="Arial"/>
        </w:rPr>
        <w:t xml:space="preserve">.: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 xml:space="preserve">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w:t>
      </w:r>
      <w:proofErr w:type="spellStart"/>
      <w:r w:rsidRPr="00C7671C">
        <w:rPr>
          <w:rFonts w:ascii="Arial" w:hAnsi="Arial" w:cs="Arial"/>
        </w:rPr>
        <w:t>Pzp</w:t>
      </w:r>
      <w:proofErr w:type="spellEnd"/>
      <w:r w:rsidRPr="00C7671C">
        <w:rPr>
          <w:rFonts w:ascii="Arial" w:hAnsi="Arial" w:cs="Arial"/>
        </w:rPr>
        <w:t xml:space="preserve">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w:t>
      </w:r>
      <w:proofErr w:type="spellStart"/>
      <w:r w:rsidR="003F2BA4" w:rsidRPr="00C7671C">
        <w:rPr>
          <w:rFonts w:ascii="Arial" w:eastAsia="Times New Roman" w:hAnsi="Arial" w:cs="Arial"/>
          <w:color w:val="auto"/>
          <w:lang w:eastAsia="pl-PL"/>
        </w:rPr>
        <w:t>późn</w:t>
      </w:r>
      <w:proofErr w:type="spellEnd"/>
      <w:r w:rsidR="003F2BA4" w:rsidRPr="00C7671C">
        <w:rPr>
          <w:rFonts w:ascii="Arial" w:eastAsia="Times New Roman" w:hAnsi="Arial" w:cs="Arial"/>
          <w:color w:val="auto"/>
          <w:lang w:eastAsia="pl-PL"/>
        </w:rPr>
        <w:t>.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w:t>
      </w:r>
      <w:proofErr w:type="spellStart"/>
      <w:r w:rsidRPr="00C7671C">
        <w:rPr>
          <w:rFonts w:ascii="Arial" w:eastAsiaTheme="minorHAnsi" w:hAnsi="Arial" w:cs="Arial"/>
          <w:lang w:eastAsia="en-US"/>
        </w:rPr>
        <w:t>Pzp</w:t>
      </w:r>
      <w:proofErr w:type="spellEnd"/>
      <w:r w:rsidRPr="00C7671C">
        <w:rPr>
          <w:rFonts w:ascii="Arial" w:eastAsiaTheme="minorHAnsi" w:hAnsi="Arial" w:cs="Arial"/>
          <w:lang w:eastAsia="en-US"/>
        </w:rPr>
        <w:t xml:space="preserve">,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 xml:space="preserve">Iwona </w:t>
      </w:r>
      <w:proofErr w:type="spellStart"/>
      <w:r w:rsidR="00885F03" w:rsidRPr="000405E1">
        <w:rPr>
          <w:rFonts w:ascii="Arial" w:hAnsi="Arial" w:cs="Arial"/>
        </w:rPr>
        <w:t>Wachna</w:t>
      </w:r>
      <w:proofErr w:type="spellEnd"/>
      <w:r w:rsidR="00885F03" w:rsidRPr="000405E1">
        <w:rPr>
          <w:rFonts w:ascii="Arial" w:hAnsi="Arial" w:cs="Arial"/>
        </w:rPr>
        <w:t xml:space="preserve">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412F7C75"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8B4E4E">
        <w:rPr>
          <w:rFonts w:ascii="Arial" w:hAnsi="Arial" w:cs="Arial"/>
          <w:color w:val="auto"/>
        </w:rPr>
        <w:t>2</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16.4 Dane zawierające dokumenty tekstowe, tekstowo-graficzne lub multimedialne stosuje się: .pdf, .</w:t>
      </w:r>
      <w:proofErr w:type="spellStart"/>
      <w:r w:rsidRPr="00C7671C">
        <w:rPr>
          <w:rFonts w:ascii="Arial" w:hAnsi="Arial" w:cs="Arial"/>
          <w:color w:val="auto"/>
        </w:rPr>
        <w:t>doc</w:t>
      </w:r>
      <w:proofErr w:type="spellEnd"/>
      <w:r w:rsidRPr="00C7671C">
        <w:rPr>
          <w:rFonts w:ascii="Arial" w:hAnsi="Arial" w:cs="Arial"/>
          <w:color w:val="auto"/>
        </w:rPr>
        <w:t>, .</w:t>
      </w:r>
      <w:proofErr w:type="spellStart"/>
      <w:r w:rsidRPr="00C7671C">
        <w:rPr>
          <w:rFonts w:ascii="Arial" w:hAnsi="Arial" w:cs="Arial"/>
          <w:color w:val="auto"/>
        </w:rPr>
        <w:t>docx</w:t>
      </w:r>
      <w:proofErr w:type="spellEnd"/>
      <w:r w:rsidRPr="00C7671C">
        <w:rPr>
          <w:rFonts w:ascii="Arial" w:hAnsi="Arial" w:cs="Arial"/>
          <w:color w:val="auto"/>
        </w:rPr>
        <w:t>, .rtf, .</w:t>
      </w:r>
      <w:proofErr w:type="spellStart"/>
      <w:r w:rsidRPr="00C7671C">
        <w:rPr>
          <w:rFonts w:ascii="Arial" w:hAnsi="Arial" w:cs="Arial"/>
          <w:color w:val="auto"/>
        </w:rPr>
        <w:t>xps</w:t>
      </w:r>
      <w:proofErr w:type="spellEnd"/>
      <w:r w:rsidRPr="00C7671C">
        <w:rPr>
          <w:rFonts w:ascii="Arial" w:hAnsi="Arial" w:cs="Arial"/>
          <w:color w:val="auto"/>
        </w:rPr>
        <w:t>, .</w:t>
      </w:r>
      <w:proofErr w:type="spellStart"/>
      <w:r w:rsidRPr="00C7671C">
        <w:rPr>
          <w:rFonts w:ascii="Arial" w:hAnsi="Arial" w:cs="Arial"/>
          <w:color w:val="auto"/>
        </w:rPr>
        <w:t>odt</w:t>
      </w:r>
      <w:proofErr w:type="spellEnd"/>
      <w:r w:rsidRPr="00C7671C">
        <w:rPr>
          <w:rFonts w:ascii="Arial" w:hAnsi="Arial" w:cs="Arial"/>
          <w:color w:val="auto"/>
        </w:rPr>
        <w:t xml:space="preserve">.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38540AAF"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D27F95">
        <w:rPr>
          <w:rFonts w:ascii="Arial" w:hAnsi="Arial" w:cs="Arial"/>
          <w:color w:val="auto"/>
        </w:rPr>
        <w:t>3.</w:t>
      </w:r>
      <w:r w:rsidR="00365CBE" w:rsidRPr="006D4E74">
        <w:rPr>
          <w:rFonts w:ascii="Arial" w:hAnsi="Arial" w:cs="Arial"/>
          <w:color w:val="auto"/>
        </w:rPr>
        <w:t xml:space="preserve">11.2024 </w:t>
      </w:r>
      <w:r w:rsidRPr="006D4E74">
        <w:rPr>
          <w:rFonts w:ascii="Arial" w:hAnsi="Arial" w:cs="Arial"/>
          <w:color w:val="auto"/>
        </w:rPr>
        <w:t xml:space="preserve"> r., do godz. </w:t>
      </w:r>
      <w:r w:rsidR="000B3FFA">
        <w:rPr>
          <w:rFonts w:ascii="Arial" w:hAnsi="Arial" w:cs="Arial"/>
          <w:color w:val="auto"/>
        </w:rPr>
        <w:t>8</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7F92BFC8"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D27F95">
        <w:rPr>
          <w:rFonts w:ascii="Arial" w:hAnsi="Arial" w:cs="Arial"/>
          <w:color w:val="auto"/>
        </w:rPr>
        <w:t>3</w:t>
      </w:r>
      <w:r w:rsidR="00365CBE" w:rsidRPr="006D4E74">
        <w:rPr>
          <w:rFonts w:ascii="Arial" w:hAnsi="Arial" w:cs="Arial"/>
          <w:color w:val="auto"/>
        </w:rPr>
        <w:t xml:space="preserve">.11.2024 r. o </w:t>
      </w:r>
      <w:r w:rsidRPr="006D4E74">
        <w:rPr>
          <w:rFonts w:ascii="Arial" w:hAnsi="Arial" w:cs="Arial"/>
          <w:color w:val="auto"/>
        </w:rPr>
        <w:t xml:space="preserve"> godz. </w:t>
      </w:r>
      <w:r w:rsidR="000B3FFA">
        <w:rPr>
          <w:rFonts w:ascii="Arial" w:hAnsi="Arial" w:cs="Arial"/>
          <w:color w:val="auto"/>
        </w:rPr>
        <w:t>8</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proofErr w:type="spellStart"/>
      <w:r w:rsidR="00085192">
        <w:rPr>
          <w:rFonts w:ascii="Arial" w:hAnsi="Arial" w:cs="Arial"/>
          <w:color w:val="auto"/>
        </w:rPr>
        <w:t>P</w:t>
      </w:r>
      <w:r w:rsidRPr="00C7671C">
        <w:rPr>
          <w:rFonts w:ascii="Arial" w:hAnsi="Arial" w:cs="Arial"/>
          <w:color w:val="auto"/>
        </w:rPr>
        <w:t>zp</w:t>
      </w:r>
      <w:proofErr w:type="spellEnd"/>
      <w:r w:rsidRPr="00C7671C">
        <w:rPr>
          <w:rFonts w:ascii="Arial" w:hAnsi="Arial" w:cs="Arial"/>
          <w:color w:val="auto"/>
        </w:rPr>
        <w:t xml:space="preserve">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Zgodnie z art. 246 ust. 2 ustawy „</w:t>
      </w:r>
      <w:proofErr w:type="spellStart"/>
      <w:r w:rsidRPr="00C23010">
        <w:rPr>
          <w:rFonts w:ascii="Arial" w:hAnsi="Arial" w:cs="Arial"/>
        </w:rPr>
        <w:t>pzp</w:t>
      </w:r>
      <w:proofErr w:type="spellEnd"/>
      <w:r w:rsidRPr="00C23010">
        <w:rPr>
          <w:rFonts w:ascii="Arial" w:hAnsi="Arial" w:cs="Arial"/>
        </w:rPr>
        <w:t xml:space="preserve">”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w:t>
      </w: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proofErr w:type="spellStart"/>
      <w:r w:rsidRPr="00C23010">
        <w:rPr>
          <w:rFonts w:ascii="Arial" w:hAnsi="Arial" w:cs="Arial"/>
          <w:lang w:eastAsia="en-US"/>
        </w:rPr>
        <w:t>C</w:t>
      </w:r>
      <w:r w:rsidRPr="00C23010">
        <w:rPr>
          <w:rFonts w:ascii="Arial" w:hAnsi="Arial" w:cs="Arial"/>
          <w:vertAlign w:val="subscript"/>
          <w:lang w:eastAsia="en-US"/>
        </w:rPr>
        <w:t>naj</w:t>
      </w:r>
      <w:proofErr w:type="spellEnd"/>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w:t>
      </w:r>
      <w:proofErr w:type="spellStart"/>
      <w:r w:rsidR="007F232C" w:rsidRPr="00C23010">
        <w:rPr>
          <w:rFonts w:ascii="Arial" w:hAnsi="Arial" w:cs="Arial"/>
        </w:rPr>
        <w:t>Kózkówny</w:t>
      </w:r>
      <w:proofErr w:type="spellEnd"/>
      <w:r w:rsidR="007F232C" w:rsidRPr="00C23010">
        <w:rPr>
          <w:rFonts w:ascii="Arial" w:hAnsi="Arial" w:cs="Arial"/>
        </w:rPr>
        <w:t xml:space="preserve">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6EDD43CA"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745746">
        <w:rPr>
          <w:rFonts w:ascii="Arial" w:hAnsi="Arial" w:cs="Arial"/>
          <w:b/>
          <w:bCs/>
          <w:sz w:val="24"/>
          <w:szCs w:val="24"/>
        </w:rPr>
        <w:t>4</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 xml:space="preserve">im. bł. Karoliny </w:t>
      </w:r>
      <w:proofErr w:type="spellStart"/>
      <w:r w:rsidRPr="00C7671C">
        <w:rPr>
          <w:rFonts w:ascii="Arial" w:hAnsi="Arial" w:cs="Arial"/>
          <w:b w:val="0"/>
          <w:bCs w:val="0"/>
          <w:sz w:val="24"/>
          <w:szCs w:val="24"/>
        </w:rPr>
        <w:t>Kózkówny</w:t>
      </w:r>
      <w:bookmarkEnd w:id="11"/>
      <w:proofErr w:type="spellEnd"/>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w:t>
      </w:r>
      <w:proofErr w:type="spellStart"/>
      <w:r w:rsidR="001228EA" w:rsidRPr="00F0243F">
        <w:rPr>
          <w:rFonts w:ascii="Arial" w:hAnsi="Arial" w:cs="Arial"/>
          <w:lang w:val="en-US"/>
        </w:rPr>
        <w:t>faksu</w:t>
      </w:r>
      <w:proofErr w:type="spellEnd"/>
      <w:r w:rsidR="001228EA" w:rsidRPr="00F0243F">
        <w:rPr>
          <w:rFonts w:ascii="Arial" w:hAnsi="Arial" w:cs="Arial"/>
          <w:lang w:val="en-US"/>
        </w:rPr>
        <w:t>: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77777777"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jaj kurzych świeżych</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w:t>
      </w:r>
      <w:proofErr w:type="spellStart"/>
      <w:r w:rsidRPr="00C7671C">
        <w:rPr>
          <w:rFonts w:ascii="Arial" w:hAnsi="Arial" w:cs="Arial"/>
          <w:color w:val="000000" w:themeColor="text1"/>
        </w:rPr>
        <w:t>emy</w:t>
      </w:r>
      <w:proofErr w:type="spellEnd"/>
      <w:r w:rsidRPr="00C7671C">
        <w:rPr>
          <w:rFonts w:ascii="Arial" w:hAnsi="Arial" w:cs="Arial"/>
          <w:color w:val="000000" w:themeColor="text1"/>
        </w:rPr>
        <w:t xml:space="preserve">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Oświadczam/y, że jestem/</w:t>
      </w:r>
      <w:proofErr w:type="spellStart"/>
      <w:r w:rsidRPr="00C7671C">
        <w:rPr>
          <w:rFonts w:ascii="Arial" w:hAnsi="Arial" w:cs="Arial"/>
          <w:color w:val="auto"/>
        </w:rPr>
        <w:t>śmy</w:t>
      </w:r>
      <w:proofErr w:type="spellEnd"/>
      <w:r w:rsidRPr="00C7671C">
        <w:rPr>
          <w:rFonts w:ascii="Arial" w:hAnsi="Arial" w:cs="Arial"/>
          <w:color w:val="auto"/>
        </w:rPr>
        <w:t>:</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w:t>
      </w:r>
      <w:proofErr w:type="spellStart"/>
      <w:r w:rsidR="001341F8" w:rsidRPr="00C7671C">
        <w:rPr>
          <w:rFonts w:ascii="Arial" w:hAnsi="Arial" w:cs="Arial"/>
        </w:rPr>
        <w:t>t.j</w:t>
      </w:r>
      <w:proofErr w:type="spellEnd"/>
      <w:r w:rsidR="001341F8" w:rsidRPr="00C7671C">
        <w:rPr>
          <w:rFonts w:ascii="Arial" w:hAnsi="Arial" w:cs="Arial"/>
        </w:rPr>
        <w:t xml:space="preserve">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 xml:space="preserve">Oświadczam, że nie podlegam wykluczeniu z postępowania na podstawie art. 7 ust. 1 pkt 1-3 ustawy o szczególnych rozwiązaniach w zakresie wspierania agresji na Ukrainę oraz służących ochronie bezpieczeństwa narodowego (tj. Dz. U. z 2023 poz. 1497 z </w:t>
      </w:r>
      <w:proofErr w:type="spellStart"/>
      <w:r w:rsidRPr="00C7671C">
        <w:rPr>
          <w:rFonts w:ascii="Arial" w:hAnsi="Arial" w:cs="Arial"/>
        </w:rPr>
        <w:t>późn</w:t>
      </w:r>
      <w:proofErr w:type="spellEnd"/>
      <w:r w:rsidRPr="00C7671C">
        <w:rPr>
          <w:rFonts w:ascii="Arial" w:hAnsi="Arial" w:cs="Arial"/>
        </w:rPr>
        <w:t>.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w:t>
      </w:r>
      <w:proofErr w:type="spellStart"/>
      <w:r w:rsidRPr="00C7671C">
        <w:rPr>
          <w:rFonts w:ascii="Arial" w:hAnsi="Arial" w:cs="Arial"/>
        </w:rPr>
        <w:t>ych</w:t>
      </w:r>
      <w:proofErr w:type="spellEnd"/>
      <w:r w:rsidRPr="00C7671C">
        <w:rPr>
          <w:rFonts w:ascii="Arial" w:hAnsi="Arial" w:cs="Arial"/>
        </w:rPr>
        <w:t xml:space="preserve"> podmiotu/</w:t>
      </w:r>
      <w:proofErr w:type="spellStart"/>
      <w:r w:rsidRPr="00C7671C">
        <w:rPr>
          <w:rFonts w:ascii="Arial" w:hAnsi="Arial" w:cs="Arial"/>
        </w:rPr>
        <w:t>tów</w:t>
      </w:r>
      <w:proofErr w:type="spellEnd"/>
      <w:r w:rsidRPr="00C7671C">
        <w:rPr>
          <w:rFonts w:ascii="Arial" w:hAnsi="Arial" w:cs="Arial"/>
        </w:rPr>
        <w:t>, będącego/</w:t>
      </w:r>
      <w:proofErr w:type="spellStart"/>
      <w:r w:rsidRPr="00C7671C">
        <w:rPr>
          <w:rFonts w:ascii="Arial" w:hAnsi="Arial" w:cs="Arial"/>
        </w:rPr>
        <w:t>ych</w:t>
      </w:r>
      <w:proofErr w:type="spellEnd"/>
      <w:r w:rsidRPr="00C7671C">
        <w:rPr>
          <w:rFonts w:ascii="Arial" w:hAnsi="Arial" w:cs="Arial"/>
        </w:rPr>
        <w:t xml:space="preserve"> podwykonawcą/</w:t>
      </w:r>
      <w:proofErr w:type="spellStart"/>
      <w:r w:rsidRPr="00C7671C">
        <w:rPr>
          <w:rFonts w:ascii="Arial" w:hAnsi="Arial" w:cs="Arial"/>
        </w:rPr>
        <w:t>ami</w:t>
      </w:r>
      <w:proofErr w:type="spellEnd"/>
      <w:r w:rsidRPr="00C7671C">
        <w:rPr>
          <w:rFonts w:ascii="Arial" w:hAnsi="Arial" w:cs="Arial"/>
        </w:rPr>
        <w:t>: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podmiotu………………………………………..……… (należy podać pełną nazwę/firmę, adres, a także w zależności od podmiotu: NIP/PESEL, KRS/</w:t>
      </w:r>
      <w:proofErr w:type="spellStart"/>
      <w:r w:rsidRPr="00C7671C">
        <w:rPr>
          <w:rFonts w:ascii="Arial" w:hAnsi="Arial" w:cs="Arial"/>
        </w:rPr>
        <w:t>CEiDG</w:t>
      </w:r>
      <w:proofErr w:type="spellEnd"/>
      <w:r w:rsidRPr="00C7671C">
        <w:rPr>
          <w:rFonts w:ascii="Arial" w:hAnsi="Arial" w:cs="Arial"/>
        </w:rPr>
        <w:t xml:space="preserve">) zachodzą podstawy wykluczenia z postępowania na </w:t>
      </w:r>
      <w:r w:rsidRPr="00C7671C">
        <w:rPr>
          <w:rFonts w:ascii="Arial" w:hAnsi="Arial" w:cs="Arial"/>
        </w:rPr>
        <w:lastRenderedPageBreak/>
        <w:t>podstawie art. …………. ustawy PZP (podać mającą zastosowanie podstawę 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 xml:space="preserve">im. bł. Karoliny </w:t>
      </w:r>
      <w:proofErr w:type="spellStart"/>
      <w:r w:rsidR="00A95C8F" w:rsidRPr="00C7671C">
        <w:rPr>
          <w:rFonts w:ascii="Arial" w:hAnsi="Arial" w:cs="Arial"/>
        </w:rPr>
        <w:t>Kózkówny</w:t>
      </w:r>
      <w:proofErr w:type="spellEnd"/>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w:t>
      </w:r>
      <w:proofErr w:type="spellStart"/>
      <w:r w:rsidR="001341F8" w:rsidRPr="00A00407">
        <w:rPr>
          <w:rFonts w:ascii="Arial" w:hAnsi="Arial" w:cs="Arial"/>
        </w:rPr>
        <w:t>t.j</w:t>
      </w:r>
      <w:proofErr w:type="spellEnd"/>
      <w:r w:rsidR="001341F8" w:rsidRPr="00A00407">
        <w:rPr>
          <w:rFonts w:ascii="Arial" w:hAnsi="Arial" w:cs="Arial"/>
        </w:rPr>
        <w:t xml:space="preserve"> Dz. U. 2023 poz. 1605 z </w:t>
      </w:r>
      <w:proofErr w:type="spellStart"/>
      <w:r w:rsidR="001341F8" w:rsidRPr="00A00407">
        <w:rPr>
          <w:rFonts w:ascii="Arial" w:hAnsi="Arial" w:cs="Arial"/>
        </w:rPr>
        <w:t>późn</w:t>
      </w:r>
      <w:proofErr w:type="spellEnd"/>
      <w:r w:rsidR="001341F8" w:rsidRPr="00A00407">
        <w:rPr>
          <w:rFonts w:ascii="Arial" w:hAnsi="Arial" w:cs="Arial"/>
        </w:rPr>
        <w:t>.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 xml:space="preserve">Oświadczam, że nie podlegam wykluczeniu z postępowania na podstawie art. 7 ust. 1 ustawy o szczególnych rozwiązaniach w zakresie wspierania agresji na Ukrainę oraz służących ochronie bezpieczeństwa narodowego (tj. Dz. U. z 2023 poz. 1497 z </w:t>
      </w:r>
      <w:proofErr w:type="spellStart"/>
      <w:r w:rsidRPr="00A6417D">
        <w:rPr>
          <w:rFonts w:ascii="Arial" w:hAnsi="Arial" w:cs="Arial"/>
          <w:iCs/>
        </w:rPr>
        <w:t>późn</w:t>
      </w:r>
      <w:proofErr w:type="spellEnd"/>
      <w:r w:rsidRPr="00A6417D">
        <w:rPr>
          <w:rFonts w:ascii="Arial" w:hAnsi="Arial" w:cs="Arial"/>
          <w:iCs/>
        </w:rPr>
        <w:t>.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 xml:space="preserve">im. bł. Karoliny </w:t>
      </w:r>
      <w:proofErr w:type="spellStart"/>
      <w:r w:rsidRPr="00C7671C">
        <w:rPr>
          <w:rFonts w:ascii="Arial" w:hAnsi="Arial" w:cs="Arial"/>
        </w:rPr>
        <w:t>Kózkówny</w:t>
      </w:r>
      <w:proofErr w:type="spellEnd"/>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 xml:space="preserve">ul. </w:t>
      </w:r>
      <w:proofErr w:type="spellStart"/>
      <w:r>
        <w:rPr>
          <w:rFonts w:ascii="Arial" w:hAnsi="Arial" w:cs="Arial"/>
        </w:rPr>
        <w:t>Nitribitta</w:t>
      </w:r>
      <w:proofErr w:type="spellEnd"/>
      <w:r>
        <w:rPr>
          <w:rFonts w:ascii="Arial" w:hAnsi="Arial" w:cs="Arial"/>
        </w:rPr>
        <w:t xml:space="preserve">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77777777"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Pr>
          <w:rFonts w:ascii="Arial" w:hAnsi="Arial" w:cs="Arial"/>
          <w:b/>
          <w:sz w:val="22"/>
          <w:szCs w:val="22"/>
        </w:rPr>
        <w:t>jaj kurzych świeżych</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 xml:space="preserve">w Krynicy – Zdroju im. Bł. Karoliny </w:t>
      </w:r>
      <w:proofErr w:type="spellStart"/>
      <w:r w:rsidRPr="00E14FA7">
        <w:rPr>
          <w:rFonts w:ascii="Arial" w:hAnsi="Arial" w:cs="Arial"/>
          <w:b/>
          <w:sz w:val="22"/>
          <w:szCs w:val="22"/>
        </w:rPr>
        <w:t>Kózkówny</w:t>
      </w:r>
      <w:proofErr w:type="spellEnd"/>
      <w:r w:rsidRPr="00E14FA7">
        <w:rPr>
          <w:rFonts w:ascii="Arial" w:hAnsi="Arial" w:cs="Arial"/>
          <w:b/>
          <w:sz w:val="22"/>
          <w:szCs w:val="22"/>
        </w:rPr>
        <w:t>”</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proofErr w:type="spellStart"/>
      <w:r w:rsidR="003130BA" w:rsidRPr="003F2847">
        <w:rPr>
          <w:rFonts w:ascii="Arial" w:hAnsi="Arial" w:cs="Arial"/>
        </w:rPr>
        <w:t>t.j</w:t>
      </w:r>
      <w:proofErr w:type="spellEnd"/>
      <w:r w:rsidR="003130BA" w:rsidRPr="003F2847">
        <w:rPr>
          <w:rFonts w:ascii="Arial" w:hAnsi="Arial" w:cs="Arial"/>
        </w:rPr>
        <w:t xml:space="preserve">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 xml:space="preserve">tj. Dz.U z 2024 poz. 507 z </w:t>
      </w:r>
      <w:proofErr w:type="spellStart"/>
      <w:r w:rsidR="003130BA" w:rsidRPr="003F2847">
        <w:rPr>
          <w:rFonts w:ascii="Arial" w:hAnsi="Arial" w:cs="Arial"/>
        </w:rPr>
        <w:t>późn</w:t>
      </w:r>
      <w:proofErr w:type="spellEnd"/>
      <w:r w:rsidR="003130BA" w:rsidRPr="003F2847">
        <w:rPr>
          <w:rFonts w:ascii="Arial" w:hAnsi="Arial" w:cs="Arial"/>
        </w:rPr>
        <w:t>.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3C0C" w14:textId="77777777" w:rsidR="009335C7" w:rsidRDefault="009335C7" w:rsidP="001228EA">
      <w:r>
        <w:separator/>
      </w:r>
    </w:p>
  </w:endnote>
  <w:endnote w:type="continuationSeparator" w:id="0">
    <w:p w14:paraId="2E7261A4" w14:textId="77777777" w:rsidR="009335C7" w:rsidRDefault="009335C7"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752B" w14:textId="77777777" w:rsidR="009335C7" w:rsidRDefault="009335C7" w:rsidP="001228EA">
      <w:r>
        <w:separator/>
      </w:r>
    </w:p>
  </w:footnote>
  <w:footnote w:type="continuationSeparator" w:id="0">
    <w:p w14:paraId="61C666AE" w14:textId="77777777" w:rsidR="009335C7" w:rsidRDefault="009335C7"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2"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3"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5"/>
  </w:num>
  <w:num w:numId="2" w16cid:durableId="829441427">
    <w:abstractNumId w:val="8"/>
  </w:num>
  <w:num w:numId="3" w16cid:durableId="427699780">
    <w:abstractNumId w:val="25"/>
  </w:num>
  <w:num w:numId="4" w16cid:durableId="858736048">
    <w:abstractNumId w:val="1"/>
  </w:num>
  <w:num w:numId="5" w16cid:durableId="979573689">
    <w:abstractNumId w:val="9"/>
  </w:num>
  <w:num w:numId="6" w16cid:durableId="2110854620">
    <w:abstractNumId w:val="22"/>
  </w:num>
  <w:num w:numId="7" w16cid:durableId="153838608">
    <w:abstractNumId w:val="18"/>
  </w:num>
  <w:num w:numId="8" w16cid:durableId="1751005237">
    <w:abstractNumId w:val="21"/>
  </w:num>
  <w:num w:numId="9" w16cid:durableId="192966587">
    <w:abstractNumId w:val="13"/>
  </w:num>
  <w:num w:numId="10" w16cid:durableId="657929544">
    <w:abstractNumId w:val="23"/>
  </w:num>
  <w:num w:numId="11" w16cid:durableId="1809739491">
    <w:abstractNumId w:val="10"/>
  </w:num>
  <w:num w:numId="12" w16cid:durableId="1992710205">
    <w:abstractNumId w:val="0"/>
  </w:num>
  <w:num w:numId="13" w16cid:durableId="846604144">
    <w:abstractNumId w:val="6"/>
  </w:num>
  <w:num w:numId="14" w16cid:durableId="1385451923">
    <w:abstractNumId w:val="11"/>
  </w:num>
  <w:num w:numId="15" w16cid:durableId="1969313534">
    <w:abstractNumId w:val="4"/>
  </w:num>
  <w:num w:numId="16" w16cid:durableId="1575042387">
    <w:abstractNumId w:val="16"/>
  </w:num>
  <w:num w:numId="17" w16cid:durableId="1947811452">
    <w:abstractNumId w:val="19"/>
  </w:num>
  <w:num w:numId="18" w16cid:durableId="521820479">
    <w:abstractNumId w:val="2"/>
  </w:num>
  <w:num w:numId="19" w16cid:durableId="376778944">
    <w:abstractNumId w:val="20"/>
  </w:num>
  <w:num w:numId="20" w16cid:durableId="740180809">
    <w:abstractNumId w:val="26"/>
  </w:num>
  <w:num w:numId="21" w16cid:durableId="1620792753">
    <w:abstractNumId w:val="12"/>
  </w:num>
  <w:num w:numId="22" w16cid:durableId="883563910">
    <w:abstractNumId w:val="14"/>
  </w:num>
  <w:num w:numId="23" w16cid:durableId="561528069">
    <w:abstractNumId w:val="7"/>
  </w:num>
  <w:num w:numId="24" w16cid:durableId="985277354">
    <w:abstractNumId w:val="24"/>
  </w:num>
  <w:num w:numId="25" w16cid:durableId="1397510860">
    <w:abstractNumId w:val="5"/>
  </w:num>
  <w:num w:numId="26" w16cid:durableId="504169695">
    <w:abstractNumId w:val="3"/>
  </w:num>
  <w:num w:numId="27" w16cid:durableId="23864188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7A65"/>
    <w:rsid w:val="00031F05"/>
    <w:rsid w:val="00035463"/>
    <w:rsid w:val="00037FF0"/>
    <w:rsid w:val="000405E1"/>
    <w:rsid w:val="00042142"/>
    <w:rsid w:val="000445DD"/>
    <w:rsid w:val="00061A0A"/>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6B67"/>
    <w:rsid w:val="000B048C"/>
    <w:rsid w:val="000B10DD"/>
    <w:rsid w:val="000B3FFA"/>
    <w:rsid w:val="000B7D33"/>
    <w:rsid w:val="000C14B7"/>
    <w:rsid w:val="000C3E54"/>
    <w:rsid w:val="000C719D"/>
    <w:rsid w:val="000D062F"/>
    <w:rsid w:val="000D4D69"/>
    <w:rsid w:val="000D6B80"/>
    <w:rsid w:val="000E585E"/>
    <w:rsid w:val="0010086A"/>
    <w:rsid w:val="00101FF2"/>
    <w:rsid w:val="00103988"/>
    <w:rsid w:val="00103EA2"/>
    <w:rsid w:val="00107758"/>
    <w:rsid w:val="0011359C"/>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403471"/>
    <w:rsid w:val="00403B1B"/>
    <w:rsid w:val="00403D15"/>
    <w:rsid w:val="0040603C"/>
    <w:rsid w:val="00417550"/>
    <w:rsid w:val="004230A8"/>
    <w:rsid w:val="00424948"/>
    <w:rsid w:val="00432738"/>
    <w:rsid w:val="00432FD9"/>
    <w:rsid w:val="00435652"/>
    <w:rsid w:val="00436092"/>
    <w:rsid w:val="00441702"/>
    <w:rsid w:val="00441878"/>
    <w:rsid w:val="0044207D"/>
    <w:rsid w:val="004430D6"/>
    <w:rsid w:val="00450200"/>
    <w:rsid w:val="004517F8"/>
    <w:rsid w:val="00452476"/>
    <w:rsid w:val="00464960"/>
    <w:rsid w:val="004673AA"/>
    <w:rsid w:val="00472CC3"/>
    <w:rsid w:val="004752AC"/>
    <w:rsid w:val="00482961"/>
    <w:rsid w:val="004835B3"/>
    <w:rsid w:val="0049000D"/>
    <w:rsid w:val="00490DF0"/>
    <w:rsid w:val="00493F10"/>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BA1"/>
    <w:rsid w:val="004E4B5B"/>
    <w:rsid w:val="004F0712"/>
    <w:rsid w:val="004F3475"/>
    <w:rsid w:val="004F47FC"/>
    <w:rsid w:val="0050140A"/>
    <w:rsid w:val="00513677"/>
    <w:rsid w:val="00515B9A"/>
    <w:rsid w:val="005345B9"/>
    <w:rsid w:val="00542BCC"/>
    <w:rsid w:val="00543EC7"/>
    <w:rsid w:val="00544CBB"/>
    <w:rsid w:val="005473CE"/>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4E74"/>
    <w:rsid w:val="006E047D"/>
    <w:rsid w:val="006E4F10"/>
    <w:rsid w:val="006E70CC"/>
    <w:rsid w:val="006F1592"/>
    <w:rsid w:val="006F4962"/>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6F9C"/>
    <w:rsid w:val="009E7F38"/>
    <w:rsid w:val="00A00407"/>
    <w:rsid w:val="00A10C3C"/>
    <w:rsid w:val="00A11179"/>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58AD"/>
    <w:rsid w:val="00AF5C8F"/>
    <w:rsid w:val="00B031A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52"/>
    <w:rsid w:val="00BF5BD6"/>
    <w:rsid w:val="00C04541"/>
    <w:rsid w:val="00C06D00"/>
    <w:rsid w:val="00C12613"/>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333F"/>
    <w:rsid w:val="00CA0062"/>
    <w:rsid w:val="00CB6C51"/>
    <w:rsid w:val="00CB7075"/>
    <w:rsid w:val="00CB70B7"/>
    <w:rsid w:val="00CC084B"/>
    <w:rsid w:val="00CC2EFF"/>
    <w:rsid w:val="00CE1C16"/>
    <w:rsid w:val="00CF2836"/>
    <w:rsid w:val="00CF4DA8"/>
    <w:rsid w:val="00D015FA"/>
    <w:rsid w:val="00D0530D"/>
    <w:rsid w:val="00D14048"/>
    <w:rsid w:val="00D163CB"/>
    <w:rsid w:val="00D27F95"/>
    <w:rsid w:val="00D34594"/>
    <w:rsid w:val="00D352C9"/>
    <w:rsid w:val="00D40C12"/>
    <w:rsid w:val="00D418EF"/>
    <w:rsid w:val="00D43A39"/>
    <w:rsid w:val="00D4410F"/>
    <w:rsid w:val="00D46662"/>
    <w:rsid w:val="00D51342"/>
    <w:rsid w:val="00D542BC"/>
    <w:rsid w:val="00D56215"/>
    <w:rsid w:val="00D57492"/>
    <w:rsid w:val="00D73888"/>
    <w:rsid w:val="00D772B1"/>
    <w:rsid w:val="00D815BB"/>
    <w:rsid w:val="00D87FC5"/>
    <w:rsid w:val="00D9680A"/>
    <w:rsid w:val="00D971BB"/>
    <w:rsid w:val="00DA0B8B"/>
    <w:rsid w:val="00DB223E"/>
    <w:rsid w:val="00DB22A9"/>
    <w:rsid w:val="00DC09F2"/>
    <w:rsid w:val="00DC3FFB"/>
    <w:rsid w:val="00DC5580"/>
    <w:rsid w:val="00DF31D0"/>
    <w:rsid w:val="00DF59BA"/>
    <w:rsid w:val="00E00536"/>
    <w:rsid w:val="00E02E3A"/>
    <w:rsid w:val="00E165F2"/>
    <w:rsid w:val="00E16DB0"/>
    <w:rsid w:val="00E211EF"/>
    <w:rsid w:val="00E24184"/>
    <w:rsid w:val="00E31E68"/>
    <w:rsid w:val="00E33F06"/>
    <w:rsid w:val="00E347BB"/>
    <w:rsid w:val="00E34E8B"/>
    <w:rsid w:val="00E40871"/>
    <w:rsid w:val="00E51DAE"/>
    <w:rsid w:val="00E54C4E"/>
    <w:rsid w:val="00E56E07"/>
    <w:rsid w:val="00E57986"/>
    <w:rsid w:val="00E66034"/>
    <w:rsid w:val="00E66065"/>
    <w:rsid w:val="00E70119"/>
    <w:rsid w:val="00E77D1F"/>
    <w:rsid w:val="00E842D7"/>
    <w:rsid w:val="00E92A21"/>
    <w:rsid w:val="00E93577"/>
    <w:rsid w:val="00E97C11"/>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9C0"/>
    <w:rsid w:val="00F85814"/>
    <w:rsid w:val="00F85BAF"/>
    <w:rsid w:val="00F87558"/>
    <w:rsid w:val="00F902AE"/>
    <w:rsid w:val="00F90BAB"/>
    <w:rsid w:val="00F96D18"/>
    <w:rsid w:val="00FA009D"/>
    <w:rsid w:val="00FA7078"/>
    <w:rsid w:val="00FA7AE0"/>
    <w:rsid w:val="00FB5885"/>
    <w:rsid w:val="00FB768B"/>
    <w:rsid w:val="00FC6044"/>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8645</Words>
  <Characters>51872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8</cp:revision>
  <cp:lastPrinted>2024-10-30T08:06:00Z</cp:lastPrinted>
  <dcterms:created xsi:type="dcterms:W3CDTF">2024-11-04T08:21:00Z</dcterms:created>
  <dcterms:modified xsi:type="dcterms:W3CDTF">2024-11-04T09:13:00Z</dcterms:modified>
</cp:coreProperties>
</file>