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394D" w14:textId="77777777" w:rsidR="007A62CC" w:rsidRPr="000643D9" w:rsidRDefault="000643D9" w:rsidP="000643D9">
      <w:pPr>
        <w:jc w:val="center"/>
        <w:rPr>
          <w:rFonts w:cstheme="minorHAnsi"/>
          <w:sz w:val="20"/>
          <w:szCs w:val="20"/>
        </w:rPr>
      </w:pPr>
      <w:r w:rsidRPr="000643D9">
        <w:rPr>
          <w:rFonts w:cstheme="minorHAnsi"/>
          <w:sz w:val="20"/>
          <w:szCs w:val="20"/>
        </w:rPr>
        <w:t>Zapytanie ofertowe</w:t>
      </w:r>
    </w:p>
    <w:p w14:paraId="7F56210D" w14:textId="77777777" w:rsidR="000643D9" w:rsidRPr="000643D9" w:rsidRDefault="000643D9" w:rsidP="000643D9">
      <w:pPr>
        <w:jc w:val="center"/>
        <w:rPr>
          <w:rFonts w:cstheme="minorHAnsi"/>
          <w:b/>
          <w:sz w:val="20"/>
          <w:szCs w:val="20"/>
        </w:rPr>
      </w:pPr>
      <w:r w:rsidRPr="000643D9">
        <w:rPr>
          <w:rFonts w:cstheme="minorHAnsi"/>
          <w:b/>
          <w:sz w:val="20"/>
          <w:szCs w:val="20"/>
        </w:rPr>
        <w:t>Urządzenie do tlenowej wentylacji wysokoprzepływowej wraz z akcesoriami</w:t>
      </w:r>
    </w:p>
    <w:p w14:paraId="263EE703" w14:textId="77777777" w:rsidR="000643D9" w:rsidRPr="000643D9" w:rsidRDefault="000643D9">
      <w:pPr>
        <w:rPr>
          <w:rFonts w:cstheme="minorHAnsi"/>
          <w:b/>
          <w:sz w:val="20"/>
          <w:szCs w:val="20"/>
        </w:rPr>
      </w:pPr>
    </w:p>
    <w:p w14:paraId="56311829" w14:textId="77777777" w:rsidR="000643D9" w:rsidRPr="000643D9" w:rsidRDefault="000643D9" w:rsidP="000643D9">
      <w:pPr>
        <w:pStyle w:val="Akapitzlist"/>
        <w:numPr>
          <w:ilvl w:val="0"/>
          <w:numId w:val="1"/>
        </w:numPr>
        <w:ind w:left="284" w:hanging="284"/>
        <w:rPr>
          <w:rFonts w:cstheme="minorHAnsi"/>
          <w:b/>
          <w:sz w:val="20"/>
          <w:szCs w:val="20"/>
        </w:rPr>
      </w:pPr>
      <w:r w:rsidRPr="000643D9">
        <w:rPr>
          <w:rFonts w:cstheme="minorHAnsi"/>
          <w:b/>
          <w:sz w:val="20"/>
          <w:szCs w:val="20"/>
        </w:rPr>
        <w:t>Aparat do terapii HFNC (3 szt.)</w:t>
      </w:r>
    </w:p>
    <w:p w14:paraId="3478ADF8"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bCs/>
          <w:color w:val="000000"/>
          <w:sz w:val="20"/>
          <w:szCs w:val="20"/>
          <w:lang w:eastAsia="ar-SA"/>
        </w:rPr>
        <w:t>Aparat do terapii HFNC (High-Flow Nasal Cannula) - generator wysokich przepływów ze zintegrowanym nawilżaczem</w:t>
      </w:r>
      <w:r w:rsidRPr="000643D9">
        <w:rPr>
          <w:rFonts w:eastAsia="Times New Roman" w:cstheme="minorHAnsi"/>
          <w:color w:val="000000"/>
          <w:sz w:val="20"/>
          <w:szCs w:val="20"/>
          <w:lang w:eastAsia="ar-SA"/>
        </w:rPr>
        <w:t>, dostarczającym ogrzane i nawilżone gazy oddechowe pacjentom samoczynnie oddychającym, poprzez łączniki: donosowe i tracheostomijne</w:t>
      </w:r>
    </w:p>
    <w:p w14:paraId="14B6CB1A"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bCs/>
          <w:color w:val="000000"/>
          <w:sz w:val="20"/>
          <w:szCs w:val="20"/>
          <w:lang w:eastAsia="ar-SA"/>
        </w:rPr>
        <w:t>Urządzenie z wbudowanym mikserem gazów, pozwalającym na precyzyjne ustawienie FiO2</w:t>
      </w:r>
      <w:r w:rsidRPr="000643D9">
        <w:rPr>
          <w:rFonts w:eastAsia="Times New Roman" w:cstheme="minorHAnsi"/>
          <w:color w:val="000000"/>
          <w:sz w:val="20"/>
          <w:szCs w:val="20"/>
          <w:lang w:eastAsia="ar-SA"/>
        </w:rPr>
        <w:t xml:space="preserve"> w zakresie 21-100% bez potrzeby dołączania zewnętrznego przepływomierza tlenowego</w:t>
      </w:r>
    </w:p>
    <w:p w14:paraId="439A6D47"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Cyfrowy, kolorowy wyświetlacz z min. 3 parametrami: temperaturą, przepływem i stężeniem tlenu. Parametry sterowane z pozycji urządzenia</w:t>
      </w:r>
    </w:p>
    <w:p w14:paraId="165F058D"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Min. 3 zakresy ustawienia temperatury: 31, 34, 37 °C</w:t>
      </w:r>
    </w:p>
    <w:p w14:paraId="5664B402"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Czas wstępnego nagrzewania: maks. 10 minut do temp. 31°C, maks. 30 minut do temp. 37°C</w:t>
      </w:r>
    </w:p>
    <w:p w14:paraId="705A9CFF"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Min. 2 zakresy ustawień przepływów: 2-25 l/min  oraz  10-80 l/min</w:t>
      </w:r>
    </w:p>
    <w:p w14:paraId="5F45CE88"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Stężenie tlenu w zakresie  od 21 % do 100 %. (możliwość ustawienia alarmów dolnej i górnej granicy stężenia tlenu)</w:t>
      </w:r>
    </w:p>
    <w:p w14:paraId="141126D4"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Zintegrowane mieszanie tlenu</w:t>
      </w:r>
    </w:p>
    <w:p w14:paraId="710B4A4F"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Wbudowany sensor tlenu</w:t>
      </w:r>
    </w:p>
    <w:p w14:paraId="592EBAD9"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Tryb osuszania aparatu i układu w przypadku przerwania terapii (99 min. cyrkulacji gorącego powietrza zapobiegający gromadzeniu się wilgotności w wyłączonym urządzeniu)</w:t>
      </w:r>
    </w:p>
    <w:p w14:paraId="70C3044D"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Przycisk wyciszania alarmu</w:t>
      </w:r>
    </w:p>
    <w:p w14:paraId="0488E647"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 xml:space="preserve">Waga: do 2,5 kg. (do 3,5 kg z akcesoriami)  </w:t>
      </w:r>
    </w:p>
    <w:p w14:paraId="12F6DF47"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Wymiary urządzenia: 360 mm x 200 mm x 165 (+/- 10 mm)</w:t>
      </w:r>
    </w:p>
    <w:p w14:paraId="23E06416"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Zasilanie: 220 V AC ± 22 V,   50±1 Hz</w:t>
      </w:r>
    </w:p>
    <w:p w14:paraId="726C69CB"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Pompa wewnętrzna nie wymagająca podłączenia do sprężonego powietrza.</w:t>
      </w:r>
    </w:p>
    <w:p w14:paraId="44238DBA"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Statyw medyczny do aparatu wyposażony w półkę, oraz podstawę jezdną z 5 kółkami cichobieżnymi - w tym min. 2 kółka z hamulcami</w:t>
      </w:r>
    </w:p>
    <w:p w14:paraId="2300F183"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Półka o wymiarach 40 cm x 30 cm (+/- 2 cm)</w:t>
      </w:r>
    </w:p>
    <w:p w14:paraId="763DF95E"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Regulowana wysokość statywu w zakresie 157,5 cm do 192,5 cm</w:t>
      </w:r>
    </w:p>
    <w:p w14:paraId="42946FA1" w14:textId="77777777" w:rsidR="000643D9" w:rsidRPr="000643D9" w:rsidRDefault="000643D9" w:rsidP="00A40D74">
      <w:pPr>
        <w:pStyle w:val="Akapitzlist"/>
        <w:numPr>
          <w:ilvl w:val="0"/>
          <w:numId w:val="2"/>
        </w:numPr>
        <w:ind w:left="567" w:hanging="283"/>
        <w:jc w:val="both"/>
        <w:rPr>
          <w:rFonts w:cstheme="minorHAnsi"/>
          <w:sz w:val="20"/>
          <w:szCs w:val="20"/>
        </w:rPr>
      </w:pPr>
      <w:r w:rsidRPr="000643D9">
        <w:rPr>
          <w:rFonts w:eastAsia="Times New Roman" w:cstheme="minorHAnsi"/>
          <w:color w:val="000000"/>
          <w:sz w:val="20"/>
          <w:szCs w:val="20"/>
          <w:lang w:eastAsia="ar-SA"/>
        </w:rPr>
        <w:t>Statyw wyposażony w min. 3 uchwyty do zawieszenia kroplówek</w:t>
      </w:r>
    </w:p>
    <w:p w14:paraId="538B3D4B" w14:textId="77777777" w:rsidR="000643D9" w:rsidRPr="000643D9" w:rsidRDefault="000643D9" w:rsidP="000643D9">
      <w:pPr>
        <w:pStyle w:val="Akapitzlist"/>
        <w:numPr>
          <w:ilvl w:val="0"/>
          <w:numId w:val="1"/>
        </w:numPr>
        <w:ind w:left="284" w:hanging="284"/>
        <w:jc w:val="both"/>
        <w:rPr>
          <w:rFonts w:cstheme="minorHAnsi"/>
          <w:sz w:val="20"/>
          <w:szCs w:val="20"/>
        </w:rPr>
      </w:pPr>
      <w:r w:rsidRPr="000643D9">
        <w:rPr>
          <w:rFonts w:cstheme="minorHAnsi"/>
          <w:b/>
          <w:sz w:val="20"/>
          <w:szCs w:val="20"/>
        </w:rPr>
        <w:t>Układ oddechowy do terapii tlenowej HFNC (5 szt.)</w:t>
      </w:r>
    </w:p>
    <w:p w14:paraId="1FBB3CDE" w14:textId="77777777" w:rsidR="000643D9" w:rsidRPr="000643D9" w:rsidRDefault="000643D9" w:rsidP="000643D9">
      <w:pPr>
        <w:pStyle w:val="Akapitzlist"/>
        <w:ind w:left="284"/>
        <w:jc w:val="both"/>
        <w:rPr>
          <w:rFonts w:cstheme="minorHAnsi"/>
          <w:sz w:val="20"/>
          <w:szCs w:val="20"/>
        </w:rPr>
      </w:pPr>
      <w:r w:rsidRPr="000643D9">
        <w:rPr>
          <w:rFonts w:cstheme="minorHAnsi"/>
          <w:sz w:val="20"/>
          <w:szCs w:val="20"/>
        </w:rPr>
        <w:t>Długość</w:t>
      </w:r>
      <w:r w:rsidRPr="000643D9">
        <w:rPr>
          <w:rFonts w:cstheme="minorHAnsi"/>
          <w:b/>
          <w:sz w:val="20"/>
          <w:szCs w:val="20"/>
        </w:rPr>
        <w:t xml:space="preserve"> </w:t>
      </w:r>
      <w:r w:rsidRPr="000643D9">
        <w:rPr>
          <w:rFonts w:cstheme="minorHAnsi"/>
          <w:sz w:val="20"/>
          <w:szCs w:val="20"/>
        </w:rPr>
        <w:t xml:space="preserve">min. 180 cm. Odcinek wdechowy podgrzewany, wyposażony w zatopioną grzałkę w ściankach układu oddechowego, eliminującą skropliny w układzie. W drenie wbudowany czujnik, zapewniający kontrolę temperatury podawanych gazów oraz zintegrowany ruchomy klips do mocowania. </w:t>
      </w:r>
    </w:p>
    <w:p w14:paraId="6D1AC339" w14:textId="77777777" w:rsidR="000643D9" w:rsidRPr="000643D9" w:rsidRDefault="000643D9" w:rsidP="000643D9">
      <w:pPr>
        <w:pStyle w:val="Akapitzlist"/>
        <w:ind w:left="284"/>
        <w:jc w:val="both"/>
        <w:rPr>
          <w:rFonts w:cstheme="minorHAnsi"/>
          <w:sz w:val="20"/>
          <w:szCs w:val="20"/>
        </w:rPr>
      </w:pPr>
      <w:r w:rsidRPr="000643D9">
        <w:rPr>
          <w:rFonts w:cstheme="minorHAnsi"/>
          <w:sz w:val="20"/>
          <w:szCs w:val="20"/>
        </w:rPr>
        <w:t>Przepływ gazów w zakresie 2 – 80 l/min.</w:t>
      </w:r>
    </w:p>
    <w:p w14:paraId="36C052DA" w14:textId="77777777" w:rsidR="000643D9" w:rsidRPr="000643D9" w:rsidRDefault="000643D9" w:rsidP="000643D9">
      <w:pPr>
        <w:pStyle w:val="Akapitzlist"/>
        <w:ind w:left="284"/>
        <w:jc w:val="both"/>
        <w:rPr>
          <w:rFonts w:cstheme="minorHAnsi"/>
          <w:sz w:val="20"/>
          <w:szCs w:val="20"/>
        </w:rPr>
      </w:pPr>
      <w:r w:rsidRPr="000643D9">
        <w:rPr>
          <w:rFonts w:cstheme="minorHAnsi"/>
          <w:sz w:val="20"/>
          <w:szCs w:val="20"/>
        </w:rPr>
        <w:t xml:space="preserve">Zakończenie układu wykonane z elastycznej końcówki, zapewniające prawidłowe podłączenie do kaniul nosowych, interfejsu do tracheostomii oraz maski. Układ zapewniający pracę w zakresie przepływów 2 – 80 l/min. w zależności od wyboru rodzaju trybu pracy urządzenia. </w:t>
      </w:r>
    </w:p>
    <w:p w14:paraId="0B373377" w14:textId="77777777" w:rsidR="000643D9" w:rsidRPr="000643D9" w:rsidRDefault="000643D9" w:rsidP="000643D9">
      <w:pPr>
        <w:pStyle w:val="Akapitzlist"/>
        <w:ind w:left="284"/>
        <w:jc w:val="both"/>
        <w:rPr>
          <w:rFonts w:cstheme="minorHAnsi"/>
          <w:sz w:val="20"/>
          <w:szCs w:val="20"/>
        </w:rPr>
      </w:pPr>
      <w:r w:rsidRPr="000643D9">
        <w:rPr>
          <w:rFonts w:cstheme="minorHAnsi"/>
          <w:sz w:val="20"/>
          <w:szCs w:val="20"/>
        </w:rPr>
        <w:t xml:space="preserve">W zestawie adapter z komorą nawilżacza z automatycznym pobieraniem wody, posiadający pływak zabezpieczający przed przedostaniem się wody do układu oddechowego. Komora wyposażona w osłonę antyoparzeniową oraz uchwyt do demontażu z urządzenia. Komora wyposażona w nakłuwacz z odpowietrznikiem, oraz wskaźnik poboru wody. </w:t>
      </w:r>
    </w:p>
    <w:p w14:paraId="5FBE0D88" w14:textId="77777777" w:rsidR="000643D9" w:rsidRPr="000643D9" w:rsidRDefault="000643D9" w:rsidP="000643D9">
      <w:pPr>
        <w:pStyle w:val="Akapitzlist"/>
        <w:ind w:left="284"/>
        <w:jc w:val="both"/>
        <w:rPr>
          <w:rFonts w:cstheme="minorHAnsi"/>
          <w:bCs/>
          <w:color w:val="000000"/>
          <w:sz w:val="20"/>
          <w:szCs w:val="20"/>
        </w:rPr>
      </w:pPr>
      <w:r w:rsidRPr="000643D9">
        <w:rPr>
          <w:rFonts w:cstheme="minorHAnsi"/>
          <w:sz w:val="20"/>
          <w:szCs w:val="20"/>
        </w:rPr>
        <w:t xml:space="preserve">Układ oddechowy z czasem użytkowania przez 14 dni od momentu otwarcia. </w:t>
      </w:r>
      <w:r w:rsidRPr="000643D9">
        <w:rPr>
          <w:rFonts w:cstheme="minorHAnsi"/>
          <w:color w:val="000000"/>
          <w:sz w:val="20"/>
          <w:szCs w:val="20"/>
        </w:rPr>
        <w:t>Okres przydatności układu: 3 lata od momentu produkcji (</w:t>
      </w:r>
      <w:r w:rsidRPr="000643D9">
        <w:rPr>
          <w:rFonts w:cstheme="minorHAnsi"/>
          <w:bCs/>
          <w:color w:val="000000"/>
          <w:sz w:val="20"/>
          <w:szCs w:val="20"/>
        </w:rPr>
        <w:t>potwierdzone stosownym oświadczeniem producenta złożonym wraz z ofertą).</w:t>
      </w:r>
    </w:p>
    <w:p w14:paraId="191A082E" w14:textId="77777777" w:rsidR="000643D9" w:rsidRPr="000643D9" w:rsidRDefault="000643D9" w:rsidP="000643D9">
      <w:pPr>
        <w:pStyle w:val="Akapitzlist"/>
        <w:numPr>
          <w:ilvl w:val="0"/>
          <w:numId w:val="1"/>
        </w:numPr>
        <w:ind w:left="284" w:hanging="284"/>
        <w:jc w:val="both"/>
        <w:rPr>
          <w:rFonts w:cstheme="minorHAnsi"/>
          <w:b/>
          <w:bCs/>
          <w:color w:val="000000"/>
          <w:sz w:val="20"/>
          <w:szCs w:val="20"/>
        </w:rPr>
      </w:pPr>
      <w:r w:rsidRPr="000643D9">
        <w:rPr>
          <w:rFonts w:cstheme="minorHAnsi"/>
          <w:b/>
          <w:bCs/>
          <w:sz w:val="20"/>
          <w:szCs w:val="20"/>
        </w:rPr>
        <w:t>Kaniula donosowa do terapii tlenowej HFNC (60 szt., rozmiar S – 5 szt., M – 40 szt., L – 15 szt.)</w:t>
      </w:r>
    </w:p>
    <w:p w14:paraId="16B88429" w14:textId="77777777" w:rsidR="000643D9" w:rsidRPr="000643D9" w:rsidRDefault="000643D9" w:rsidP="000643D9">
      <w:pPr>
        <w:pStyle w:val="Akapitzlist"/>
        <w:ind w:left="284"/>
        <w:jc w:val="both"/>
        <w:rPr>
          <w:rFonts w:cstheme="minorHAnsi"/>
          <w:bCs/>
          <w:color w:val="000000"/>
          <w:sz w:val="20"/>
          <w:szCs w:val="20"/>
        </w:rPr>
      </w:pPr>
      <w:r w:rsidRPr="000643D9">
        <w:rPr>
          <w:rFonts w:cstheme="minorHAnsi"/>
          <w:bCs/>
          <w:sz w:val="20"/>
          <w:szCs w:val="20"/>
        </w:rPr>
        <w:t>P</w:t>
      </w:r>
      <w:r w:rsidRPr="000643D9">
        <w:rPr>
          <w:rFonts w:cstheme="minorHAnsi"/>
          <w:sz w:val="20"/>
          <w:szCs w:val="20"/>
        </w:rPr>
        <w:t>rzystosowana do współpracy z podgrzewanymi układami oddechowymi Kaniula wyposażona jest w regulowany pasek zakładany na głowę, umożliwiający zamocowanie kaniuli na twarzy pacjenta.</w:t>
      </w:r>
    </w:p>
    <w:p w14:paraId="3FB2DC41" w14:textId="77777777" w:rsidR="000643D9" w:rsidRPr="000643D9" w:rsidRDefault="000643D9" w:rsidP="000643D9">
      <w:pPr>
        <w:pStyle w:val="Akapitzlist"/>
        <w:ind w:left="284"/>
        <w:jc w:val="both"/>
        <w:rPr>
          <w:rFonts w:cstheme="minorHAnsi"/>
          <w:sz w:val="20"/>
          <w:szCs w:val="20"/>
        </w:rPr>
      </w:pPr>
      <w:r w:rsidRPr="000643D9">
        <w:rPr>
          <w:rFonts w:cstheme="minorHAnsi"/>
          <w:sz w:val="20"/>
          <w:szCs w:val="20"/>
        </w:rPr>
        <w:t>Produkt zalecany do użytku przez 14 dni.</w:t>
      </w:r>
    </w:p>
    <w:p w14:paraId="4BB88EC4" w14:textId="77777777" w:rsidR="000643D9" w:rsidRPr="000643D9" w:rsidRDefault="000643D9" w:rsidP="000643D9">
      <w:pPr>
        <w:pStyle w:val="Akapitzlist"/>
        <w:ind w:left="284"/>
        <w:jc w:val="both"/>
        <w:rPr>
          <w:rFonts w:cstheme="minorHAnsi"/>
          <w:b/>
          <w:bCs/>
          <w:color w:val="000000"/>
          <w:sz w:val="20"/>
          <w:szCs w:val="20"/>
        </w:rPr>
      </w:pPr>
      <w:r w:rsidRPr="000643D9">
        <w:rPr>
          <w:rFonts w:cstheme="minorHAnsi"/>
          <w:color w:val="000000"/>
          <w:sz w:val="20"/>
          <w:szCs w:val="20"/>
        </w:rPr>
        <w:t>Okres przydatności: 3 lat od momentu produkcji (</w:t>
      </w:r>
      <w:r w:rsidRPr="000643D9">
        <w:rPr>
          <w:rFonts w:cstheme="minorHAnsi"/>
          <w:bCs/>
          <w:color w:val="000000"/>
          <w:sz w:val="20"/>
          <w:szCs w:val="20"/>
        </w:rPr>
        <w:t>potwierdzone stosownym oświadczeniem producenta złożonym wraz z ofertą).</w:t>
      </w:r>
    </w:p>
    <w:p w14:paraId="688C9AC2" w14:textId="77777777" w:rsidR="004C3597" w:rsidRPr="004C3597" w:rsidRDefault="000643D9" w:rsidP="004C3597">
      <w:pPr>
        <w:pStyle w:val="Akapitzlist"/>
        <w:numPr>
          <w:ilvl w:val="0"/>
          <w:numId w:val="1"/>
        </w:numPr>
        <w:autoSpaceDE w:val="0"/>
        <w:autoSpaceDN w:val="0"/>
        <w:adjustRightInd w:val="0"/>
        <w:ind w:left="284" w:hanging="284"/>
        <w:rPr>
          <w:rFonts w:cstheme="minorHAnsi"/>
          <w:bCs/>
          <w:sz w:val="20"/>
          <w:szCs w:val="20"/>
        </w:rPr>
      </w:pPr>
      <w:r w:rsidRPr="004C3597">
        <w:rPr>
          <w:rFonts w:cstheme="minorHAnsi"/>
          <w:bCs/>
          <w:sz w:val="20"/>
          <w:szCs w:val="20"/>
        </w:rPr>
        <w:t>Łącznik tracheostomijny do terapii wysokoprzepływowej (5 szt.)</w:t>
      </w:r>
    </w:p>
    <w:p w14:paraId="173B6092" w14:textId="77777777" w:rsidR="004C3597" w:rsidRDefault="004C3597" w:rsidP="004C3597">
      <w:pPr>
        <w:pStyle w:val="Akapitzlist"/>
        <w:numPr>
          <w:ilvl w:val="0"/>
          <w:numId w:val="1"/>
        </w:numPr>
        <w:autoSpaceDE w:val="0"/>
        <w:autoSpaceDN w:val="0"/>
        <w:adjustRightInd w:val="0"/>
        <w:ind w:left="284" w:hanging="284"/>
        <w:rPr>
          <w:rFonts w:cstheme="minorHAnsi"/>
          <w:bCs/>
          <w:sz w:val="20"/>
          <w:szCs w:val="20"/>
        </w:rPr>
      </w:pPr>
      <w:r w:rsidRPr="004C3597">
        <w:rPr>
          <w:rFonts w:cstheme="minorHAnsi"/>
          <w:bCs/>
          <w:sz w:val="20"/>
          <w:szCs w:val="20"/>
        </w:rPr>
        <w:t>G</w:t>
      </w:r>
      <w:r w:rsidRPr="004C3597">
        <w:rPr>
          <w:rFonts w:cstheme="minorHAnsi"/>
          <w:bCs/>
          <w:sz w:val="20"/>
          <w:szCs w:val="20"/>
        </w:rPr>
        <w:t xml:space="preserve">warancja na sprzęt </w:t>
      </w:r>
      <w:r w:rsidRPr="004C3597">
        <w:rPr>
          <w:rFonts w:cstheme="minorHAnsi"/>
          <w:bCs/>
          <w:sz w:val="20"/>
          <w:szCs w:val="20"/>
        </w:rPr>
        <w:t xml:space="preserve">24 </w:t>
      </w:r>
      <w:r w:rsidRPr="004C3597">
        <w:rPr>
          <w:rFonts w:cstheme="minorHAnsi"/>
          <w:bCs/>
          <w:sz w:val="20"/>
          <w:szCs w:val="20"/>
        </w:rPr>
        <w:t>miesiące</w:t>
      </w:r>
      <w:r w:rsidRPr="004C3597">
        <w:rPr>
          <w:rFonts w:cstheme="minorHAnsi"/>
          <w:bCs/>
          <w:sz w:val="20"/>
          <w:szCs w:val="20"/>
        </w:rPr>
        <w:t>.</w:t>
      </w:r>
    </w:p>
    <w:p w14:paraId="4FCB6A75" w14:textId="79504386" w:rsidR="004C3597" w:rsidRPr="004C3597" w:rsidRDefault="004C3597" w:rsidP="004C3597">
      <w:pPr>
        <w:pStyle w:val="Akapitzlist"/>
        <w:numPr>
          <w:ilvl w:val="0"/>
          <w:numId w:val="1"/>
        </w:numPr>
        <w:autoSpaceDE w:val="0"/>
        <w:autoSpaceDN w:val="0"/>
        <w:adjustRightInd w:val="0"/>
        <w:ind w:left="284" w:hanging="284"/>
        <w:rPr>
          <w:rFonts w:cstheme="minorHAnsi"/>
          <w:bCs/>
          <w:sz w:val="20"/>
          <w:szCs w:val="20"/>
        </w:rPr>
      </w:pPr>
      <w:r w:rsidRPr="004C3597">
        <w:rPr>
          <w:rFonts w:cstheme="minorHAnsi"/>
          <w:bCs/>
          <w:sz w:val="20"/>
          <w:szCs w:val="20"/>
        </w:rPr>
        <w:t>Gwarancja min. 8–letniego dostępu do części zamiennych, materiałów eksploatacyjnych i akcesoriów</w:t>
      </w:r>
    </w:p>
    <w:p w14:paraId="49BFE2FE"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lastRenderedPageBreak/>
        <w:t>W cenie oferty uwzględniono koszty naprawy i wymiany uszkodzonych części zamiennych i elementów w okresie gwarancji - poza częściami i elementami nie podlegającymi gwarancji lub uszkodzonymi mechanicznie</w:t>
      </w:r>
    </w:p>
    <w:p w14:paraId="617417F7"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Każda naprawa gwarancyjna powoduje przedłużenie okresu gwarancji o liczbę dni wyłączenia sprzętu z eksploatacji.</w:t>
      </w:r>
    </w:p>
    <w:p w14:paraId="3DC85BF0"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Wymiana podzespołu na nowy – natychmiastowa lub co najwyżej po pierwszej nieskutecznej próbie jego naprawy</w:t>
      </w:r>
    </w:p>
    <w:p w14:paraId="4A7BCDAB"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Wszystkie czynności serwisowe, w tym wymagane przez producenta przeglądy konserwacyjne/techniczne/okresowe  w okresie gwarancji – w cenie oferty</w:t>
      </w:r>
    </w:p>
    <w:p w14:paraId="0A8DFDE7"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Liczba darmowych przeglądów serwisowych w okresie gwarancji (przynajmniej raz w roku).</w:t>
      </w:r>
    </w:p>
    <w:p w14:paraId="04524629"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Pełna, bezpłatna aktualizacja kompletu oprogramowania (jeżeli dotyczy) do wersji najwyższych w okresie trwania gwarancji</w:t>
      </w:r>
    </w:p>
    <w:p w14:paraId="635A520F"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p w14:paraId="1B0AE803"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Gwarantowany czas naprawy, max. 7 dni od daty zgłoszenia konieczności naprawy</w:t>
      </w:r>
    </w:p>
    <w:p w14:paraId="0C737769"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Możliwość zgłoszeń 24 godz./dobę, 365 dni/rok.</w:t>
      </w:r>
    </w:p>
    <w:p w14:paraId="44B8B316"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 xml:space="preserve">Dostawa wraz z rozładunkiem, montażem oraz uruchomieniem </w:t>
      </w:r>
    </w:p>
    <w:p w14:paraId="7CBB38D1"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Szkolenie obsługi i minimum jednej osoby z pionu technicznego (ze wskazaniem listy przeszkolonych) w siedzibie zamawiającego z ustaleniem terminu i formy drogą telefoniczną, pisemnie,  lub  e-mail.</w:t>
      </w:r>
    </w:p>
    <w:p w14:paraId="357FA45C"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Po zakończeniu okresu gwarancji usunięcie blokad programowych i haseł lub udostępnienie ich Zamawiającemu na żądanie (jeżeli dotyczy).</w:t>
      </w:r>
    </w:p>
    <w:p w14:paraId="002263F3"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Instrukcja obsługi w języku polskim w formie elektronicznej i drukowanej.</w:t>
      </w:r>
    </w:p>
    <w:p w14:paraId="42610A90" w14:textId="77777777" w:rsidR="004C3597" w:rsidRPr="004C3597" w:rsidRDefault="004C3597" w:rsidP="004C3597">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Z każdym urządzeniem wykonawca dostarczy paszport (jeżeli dotyczy) zawierający co najmniej takie dane jak: nazwa, typ (model), producent, rok produkcji, numer seryjny (fabryczny), inne istotne informacje (np. części składowe, istotne wyposażenie, oprogramowanie).</w:t>
      </w:r>
    </w:p>
    <w:p w14:paraId="6B4A3534" w14:textId="6978C875" w:rsidR="0082586E" w:rsidRPr="004C3597" w:rsidRDefault="004C3597" w:rsidP="0082586E">
      <w:pPr>
        <w:pStyle w:val="Akapitzlist"/>
        <w:numPr>
          <w:ilvl w:val="0"/>
          <w:numId w:val="1"/>
        </w:numPr>
        <w:autoSpaceDE w:val="0"/>
        <w:autoSpaceDN w:val="0"/>
        <w:adjustRightInd w:val="0"/>
        <w:rPr>
          <w:rFonts w:cstheme="minorHAnsi"/>
          <w:bCs/>
          <w:sz w:val="20"/>
          <w:szCs w:val="20"/>
        </w:rPr>
      </w:pPr>
      <w:r w:rsidRPr="004C3597">
        <w:rPr>
          <w:rFonts w:cstheme="minorHAnsi"/>
          <w:bCs/>
          <w:sz w:val="20"/>
          <w:szCs w:val="20"/>
        </w:rPr>
        <w:t>Certyfikat potwierdzający posiadanie znaku CE, bądź Deklaracje Zgodności CE lub inne dokumenty równoważne.</w:t>
      </w:r>
    </w:p>
    <w:p w14:paraId="59AF2072" w14:textId="77777777" w:rsidR="004C3597" w:rsidRPr="004C3597" w:rsidRDefault="004C3597" w:rsidP="004C3597">
      <w:pPr>
        <w:autoSpaceDE w:val="0"/>
        <w:autoSpaceDN w:val="0"/>
        <w:adjustRightInd w:val="0"/>
        <w:ind w:left="360"/>
        <w:rPr>
          <w:rFonts w:cstheme="minorHAnsi"/>
          <w:b/>
          <w:sz w:val="20"/>
          <w:szCs w:val="20"/>
        </w:rPr>
      </w:pPr>
    </w:p>
    <w:p w14:paraId="2C4DC263" w14:textId="1A18FDBA" w:rsidR="0082586E" w:rsidRPr="004C3597" w:rsidRDefault="0082586E" w:rsidP="004C3597">
      <w:pPr>
        <w:autoSpaceDE w:val="0"/>
        <w:autoSpaceDN w:val="0"/>
        <w:adjustRightInd w:val="0"/>
        <w:rPr>
          <w:rFonts w:cstheme="minorHAnsi"/>
          <w:b/>
          <w:sz w:val="20"/>
          <w:szCs w:val="20"/>
          <w:u w:val="single"/>
        </w:rPr>
      </w:pPr>
      <w:r w:rsidRPr="004C3597">
        <w:rPr>
          <w:rFonts w:cstheme="minorHAnsi"/>
          <w:b/>
          <w:sz w:val="20"/>
          <w:szCs w:val="20"/>
          <w:u w:val="single"/>
        </w:rPr>
        <w:t>Oferujemy:</w:t>
      </w:r>
    </w:p>
    <w:p w14:paraId="7499EF3F" w14:textId="77777777" w:rsidR="0082586E" w:rsidRDefault="0082586E" w:rsidP="0082586E">
      <w:pPr>
        <w:pStyle w:val="Akapitzlist"/>
        <w:rPr>
          <w:rFonts w:cstheme="minorHAnsi"/>
          <w:b/>
          <w:sz w:val="20"/>
          <w:szCs w:val="20"/>
        </w:rPr>
      </w:pPr>
    </w:p>
    <w:p w14:paraId="52E775A7" w14:textId="46C940A8" w:rsidR="0082586E" w:rsidRPr="0082586E" w:rsidRDefault="0082586E" w:rsidP="0082586E">
      <w:pPr>
        <w:pStyle w:val="Akapitzlist"/>
        <w:jc w:val="center"/>
        <w:rPr>
          <w:rFonts w:cstheme="minorHAnsi"/>
          <w:b/>
          <w:sz w:val="20"/>
          <w:szCs w:val="20"/>
        </w:rPr>
      </w:pPr>
      <w:r w:rsidRPr="0082586E">
        <w:rPr>
          <w:rFonts w:cstheme="minorHAnsi"/>
          <w:b/>
          <w:sz w:val="20"/>
          <w:szCs w:val="20"/>
        </w:rPr>
        <w:t>Urządzenie do tlenowej wentylacji wysokoprzepływowej (</w:t>
      </w:r>
      <w:r>
        <w:rPr>
          <w:rFonts w:cstheme="minorHAnsi"/>
          <w:b/>
          <w:sz w:val="20"/>
          <w:szCs w:val="20"/>
        </w:rPr>
        <w:t>3</w:t>
      </w:r>
      <w:r w:rsidRPr="0082586E">
        <w:rPr>
          <w:rFonts w:cstheme="minorHAnsi"/>
          <w:b/>
          <w:sz w:val="20"/>
          <w:szCs w:val="20"/>
        </w:rPr>
        <w:t xml:space="preserve"> szt.)</w:t>
      </w:r>
    </w:p>
    <w:p w14:paraId="14997777" w14:textId="77777777" w:rsidR="0082586E" w:rsidRPr="00B07C37" w:rsidRDefault="0082586E" w:rsidP="0082586E">
      <w:pPr>
        <w:pStyle w:val="Bezodstpw"/>
        <w:ind w:left="360"/>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263"/>
        <w:gridCol w:w="1418"/>
        <w:gridCol w:w="4252"/>
      </w:tblGrid>
      <w:tr w:rsidR="0082586E" w:rsidRPr="00B07C37" w14:paraId="5F1EB6F2" w14:textId="77777777" w:rsidTr="000F06AA">
        <w:trPr>
          <w:trHeight w:val="284"/>
          <w:jc w:val="center"/>
        </w:trPr>
        <w:tc>
          <w:tcPr>
            <w:tcW w:w="2263" w:type="dxa"/>
          </w:tcPr>
          <w:p w14:paraId="5E88C401"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14:paraId="3FD447E9"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14:paraId="4DD77E8D" w14:textId="77777777" w:rsidR="0082586E" w:rsidRPr="00B07C37" w:rsidRDefault="0082586E" w:rsidP="000F06AA">
            <w:pPr>
              <w:pStyle w:val="Bezodstpw"/>
              <w:rPr>
                <w:rFonts w:asciiTheme="minorHAnsi" w:hAnsiTheme="minorHAnsi" w:cstheme="minorHAnsi"/>
                <w:sz w:val="20"/>
                <w:szCs w:val="20"/>
              </w:rPr>
            </w:pPr>
          </w:p>
        </w:tc>
      </w:tr>
      <w:tr w:rsidR="0082586E" w:rsidRPr="00B07C37" w14:paraId="534BCA05" w14:textId="77777777" w:rsidTr="000F06AA">
        <w:trPr>
          <w:trHeight w:val="284"/>
          <w:jc w:val="center"/>
        </w:trPr>
        <w:tc>
          <w:tcPr>
            <w:tcW w:w="2263" w:type="dxa"/>
          </w:tcPr>
          <w:p w14:paraId="385D45F2"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14:paraId="6D511B32"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14:paraId="5B8D358A" w14:textId="77777777" w:rsidR="0082586E" w:rsidRPr="00B07C37" w:rsidRDefault="0082586E" w:rsidP="000F06AA">
            <w:pPr>
              <w:pStyle w:val="Bezodstpw"/>
              <w:rPr>
                <w:rFonts w:asciiTheme="minorHAnsi" w:hAnsiTheme="minorHAnsi" w:cstheme="minorHAnsi"/>
                <w:sz w:val="20"/>
                <w:szCs w:val="20"/>
              </w:rPr>
            </w:pPr>
          </w:p>
        </w:tc>
      </w:tr>
      <w:tr w:rsidR="0082586E" w:rsidRPr="00B07C37" w14:paraId="6F7B5825" w14:textId="77777777" w:rsidTr="000F06AA">
        <w:trPr>
          <w:trHeight w:val="284"/>
          <w:jc w:val="center"/>
        </w:trPr>
        <w:tc>
          <w:tcPr>
            <w:tcW w:w="2263" w:type="dxa"/>
          </w:tcPr>
          <w:p w14:paraId="1D920852" w14:textId="77777777" w:rsidR="0082586E" w:rsidRPr="00B07C37" w:rsidRDefault="0082586E" w:rsidP="000F06A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14:paraId="0655F7DA"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14:paraId="2B12134E" w14:textId="77777777" w:rsidR="0082586E" w:rsidRPr="00B07C37" w:rsidRDefault="0082586E" w:rsidP="000F06AA">
            <w:pPr>
              <w:pStyle w:val="Bezodstpw"/>
              <w:rPr>
                <w:rFonts w:asciiTheme="minorHAnsi" w:hAnsiTheme="minorHAnsi" w:cstheme="minorHAnsi"/>
                <w:sz w:val="20"/>
                <w:szCs w:val="20"/>
              </w:rPr>
            </w:pPr>
          </w:p>
        </w:tc>
      </w:tr>
      <w:tr w:rsidR="0082586E" w:rsidRPr="00B07C37" w14:paraId="1CEBD258" w14:textId="77777777" w:rsidTr="000F06AA">
        <w:trPr>
          <w:trHeight w:val="284"/>
          <w:jc w:val="center"/>
        </w:trPr>
        <w:tc>
          <w:tcPr>
            <w:tcW w:w="2263" w:type="dxa"/>
          </w:tcPr>
          <w:p w14:paraId="69F18836"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14:paraId="72037AB9" w14:textId="77777777" w:rsidR="0082586E" w:rsidRPr="00B07C37" w:rsidRDefault="0082586E" w:rsidP="000F06A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14:paraId="0A87F5C2" w14:textId="77777777" w:rsidR="0082586E" w:rsidRPr="00B07C37" w:rsidRDefault="0082586E" w:rsidP="000F06AA">
            <w:pPr>
              <w:pStyle w:val="Bezodstpw"/>
              <w:rPr>
                <w:rFonts w:asciiTheme="minorHAnsi" w:hAnsiTheme="minorHAnsi" w:cstheme="minorHAnsi"/>
                <w:sz w:val="20"/>
                <w:szCs w:val="20"/>
              </w:rPr>
            </w:pPr>
          </w:p>
        </w:tc>
      </w:tr>
    </w:tbl>
    <w:p w14:paraId="1DF13CA8" w14:textId="18E7EC07" w:rsidR="0082586E" w:rsidRDefault="0082586E" w:rsidP="0082586E">
      <w:pPr>
        <w:rPr>
          <w:rFonts w:cstheme="minorHAnsi"/>
          <w:b/>
          <w:sz w:val="20"/>
          <w:szCs w:val="20"/>
        </w:rPr>
      </w:pPr>
    </w:p>
    <w:p w14:paraId="14567DD2" w14:textId="70C9DC17" w:rsidR="0082586E" w:rsidRDefault="0082586E" w:rsidP="0082586E">
      <w:pPr>
        <w:pStyle w:val="Akapitzlist"/>
        <w:numPr>
          <w:ilvl w:val="0"/>
          <w:numId w:val="1"/>
        </w:numPr>
        <w:autoSpaceDE w:val="0"/>
        <w:autoSpaceDN w:val="0"/>
        <w:adjustRightInd w:val="0"/>
        <w:ind w:left="284" w:hanging="284"/>
        <w:rPr>
          <w:rFonts w:cstheme="minorHAnsi"/>
          <w:b/>
          <w:sz w:val="20"/>
          <w:szCs w:val="20"/>
        </w:rPr>
      </w:pPr>
      <w:r>
        <w:rPr>
          <w:rFonts w:cstheme="minorHAnsi"/>
          <w:b/>
          <w:sz w:val="20"/>
          <w:szCs w:val="20"/>
        </w:rPr>
        <w:t>Wykonawca dostarczy urządzenia medyczne o parametrach wyżej wymienionych.</w:t>
      </w:r>
    </w:p>
    <w:p w14:paraId="2D42F38D" w14:textId="0C11A21A" w:rsidR="0082586E" w:rsidRPr="0082586E" w:rsidRDefault="0082586E" w:rsidP="0082586E">
      <w:pPr>
        <w:autoSpaceDE w:val="0"/>
        <w:autoSpaceDN w:val="0"/>
        <w:adjustRightInd w:val="0"/>
        <w:rPr>
          <w:rFonts w:cstheme="minorHAnsi"/>
          <w:b/>
          <w:sz w:val="20"/>
          <w:szCs w:val="20"/>
        </w:rPr>
      </w:pPr>
    </w:p>
    <w:p w14:paraId="1574CBE9" w14:textId="03F525D7" w:rsidR="0082586E" w:rsidRPr="0082586E" w:rsidRDefault="0082586E" w:rsidP="0082586E">
      <w:pPr>
        <w:ind w:left="3540" w:firstLine="708"/>
        <w:rPr>
          <w:rFonts w:cstheme="minorHAnsi"/>
          <w:b/>
          <w:sz w:val="20"/>
          <w:szCs w:val="20"/>
        </w:rPr>
      </w:pPr>
      <w:r>
        <w:rPr>
          <w:rFonts w:cstheme="minorHAnsi"/>
          <w:b/>
          <w:sz w:val="20"/>
          <w:szCs w:val="20"/>
        </w:rPr>
        <w:t>________________________________________________</w:t>
      </w:r>
    </w:p>
    <w:p w14:paraId="4BDEA223" w14:textId="22FB43B2" w:rsidR="0082586E" w:rsidRPr="0082586E" w:rsidRDefault="0082586E" w:rsidP="0082586E">
      <w:pPr>
        <w:widowControl w:val="0"/>
        <w:suppressAutoHyphens/>
        <w:spacing w:after="0" w:line="240" w:lineRule="auto"/>
        <w:ind w:left="4248"/>
        <w:jc w:val="both"/>
        <w:rPr>
          <w:rFonts w:ascii="Times New Roman" w:eastAsia="Times New Roman" w:hAnsi="Times New Roman" w:cs="Times New Roman"/>
          <w:lang w:eastAsia="ar-SA"/>
        </w:rPr>
      </w:pPr>
      <w:r w:rsidRPr="0082586E">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82586E">
        <w:rPr>
          <w:rFonts w:ascii="Times New Roman" w:eastAsia="Times New Roman" w:hAnsi="Times New Roman" w:cs="Times New Roman"/>
          <w:lang w:eastAsia="ar-SA"/>
        </w:rPr>
        <w:t xml:space="preserve"> (imię i nazwisko) </w:t>
      </w:r>
    </w:p>
    <w:p w14:paraId="36FEE811" w14:textId="77777777" w:rsidR="0082586E" w:rsidRPr="0082586E" w:rsidRDefault="0082586E" w:rsidP="0082586E">
      <w:pPr>
        <w:widowControl w:val="0"/>
        <w:suppressAutoHyphens/>
        <w:spacing w:after="0" w:line="240" w:lineRule="auto"/>
        <w:ind w:left="4248"/>
        <w:jc w:val="both"/>
        <w:rPr>
          <w:rFonts w:ascii="Times New Roman" w:eastAsia="Times New Roman" w:hAnsi="Times New Roman" w:cs="Times New Roman"/>
          <w:lang w:eastAsia="ar-SA"/>
        </w:rPr>
      </w:pPr>
      <w:r w:rsidRPr="0082586E">
        <w:rPr>
          <w:rFonts w:ascii="Times New Roman" w:eastAsia="Times New Roman" w:hAnsi="Times New Roman" w:cs="Times New Roman"/>
          <w:lang w:eastAsia="ar-SA"/>
        </w:rPr>
        <w:t xml:space="preserve"> Podpis uprawnionego przedstawiciela Wykonawcy   </w:t>
      </w:r>
    </w:p>
    <w:p w14:paraId="65D4DC71" w14:textId="77777777" w:rsidR="000643D9" w:rsidRPr="000643D9" w:rsidRDefault="000643D9" w:rsidP="000643D9">
      <w:pPr>
        <w:rPr>
          <w:rFonts w:cstheme="minorHAnsi"/>
          <w:sz w:val="20"/>
          <w:szCs w:val="20"/>
        </w:rPr>
      </w:pPr>
    </w:p>
    <w:sectPr w:rsidR="000643D9" w:rsidRPr="000643D9" w:rsidSect="000643D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D5E79"/>
    <w:multiLevelType w:val="hybridMultilevel"/>
    <w:tmpl w:val="41CCBE6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367A28"/>
    <w:multiLevelType w:val="hybridMultilevel"/>
    <w:tmpl w:val="E940DF0C"/>
    <w:lvl w:ilvl="0" w:tplc="215C18AC">
      <w:start w:val="1"/>
      <w:numFmt w:val="decimal"/>
      <w:lvlText w:val="%1."/>
      <w:lvlJc w:val="left"/>
      <w:pPr>
        <w:ind w:left="720" w:hanging="360"/>
      </w:pPr>
      <w:rPr>
        <w:rFonts w:cstheme="minorHAns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D9"/>
    <w:rsid w:val="000643D9"/>
    <w:rsid w:val="004C3597"/>
    <w:rsid w:val="00775C82"/>
    <w:rsid w:val="007F45F5"/>
    <w:rsid w:val="0082586E"/>
    <w:rsid w:val="00A40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6C20"/>
  <w15:chartTrackingRefBased/>
  <w15:docId w15:val="{2A69E58C-5325-4AD1-A7B7-7211D1EF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3D9"/>
    <w:pPr>
      <w:ind w:left="720"/>
      <w:contextualSpacing/>
    </w:pPr>
  </w:style>
  <w:style w:type="paragraph" w:styleId="Nagwek">
    <w:name w:val="header"/>
    <w:basedOn w:val="Normalny"/>
    <w:link w:val="NagwekZnak"/>
    <w:unhideWhenUsed/>
    <w:rsid w:val="000643D9"/>
    <w:pPr>
      <w:widowControl w:val="0"/>
      <w:tabs>
        <w:tab w:val="center" w:pos="4536"/>
        <w:tab w:val="right" w:pos="9072"/>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NagwekZnak">
    <w:name w:val="Nagłówek Znak"/>
    <w:basedOn w:val="Domylnaczcionkaakapitu"/>
    <w:link w:val="Nagwek"/>
    <w:rsid w:val="000643D9"/>
    <w:rPr>
      <w:rFonts w:ascii="Times New Roman" w:eastAsia="Lucida Sans Unicode" w:hAnsi="Times New Roman" w:cs="Mangal"/>
      <w:kern w:val="1"/>
      <w:sz w:val="24"/>
      <w:szCs w:val="24"/>
      <w:lang w:eastAsia="hi-IN" w:bidi="hi-IN"/>
    </w:rPr>
  </w:style>
  <w:style w:type="paragraph" w:styleId="Bezodstpw">
    <w:name w:val="No Spacing"/>
    <w:uiPriority w:val="1"/>
    <w:qFormat/>
    <w:rsid w:val="0082586E"/>
    <w:pPr>
      <w:widowControl w:val="0"/>
      <w:suppressAutoHyphens/>
      <w:spacing w:after="0" w:line="240" w:lineRule="auto"/>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841</Words>
  <Characters>5049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5</cp:revision>
  <dcterms:created xsi:type="dcterms:W3CDTF">2020-12-21T11:41:00Z</dcterms:created>
  <dcterms:modified xsi:type="dcterms:W3CDTF">2020-12-21T13:21:00Z</dcterms:modified>
</cp:coreProperties>
</file>