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6F7FC3B5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2712.1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AA3B6F5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E21DA">
        <w:rPr>
          <w:rFonts w:ascii="Verdana" w:hAnsi="Verdana" w:cs="Arial"/>
          <w:bCs/>
          <w:i/>
          <w:iCs/>
          <w:sz w:val="18"/>
          <w:szCs w:val="18"/>
        </w:rPr>
        <w:t>7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555BEE36" w:rsidR="0028109A" w:rsidRPr="001F396D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7C46EB" w:rsidRPr="007C46EB">
        <w:rPr>
          <w:rFonts w:ascii="Verdana" w:hAnsi="Verdana" w:cs="Arial"/>
          <w:b/>
          <w:i/>
          <w:iCs/>
          <w:sz w:val="24"/>
          <w:szCs w:val="36"/>
        </w:rPr>
        <w:t>Remont instalacji centralnego ogrzewania dla DS. DWUDZIESTOLATKA przy ul. Piastowskiej 1 we Wrocławiu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lastRenderedPageBreak/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3C35CB"/>
    <w:rsid w:val="003E551B"/>
    <w:rsid w:val="00431EE2"/>
    <w:rsid w:val="00464384"/>
    <w:rsid w:val="005120E7"/>
    <w:rsid w:val="00587157"/>
    <w:rsid w:val="005F37C4"/>
    <w:rsid w:val="005F7C51"/>
    <w:rsid w:val="006B7ABC"/>
    <w:rsid w:val="007B718B"/>
    <w:rsid w:val="007C46EB"/>
    <w:rsid w:val="007D6328"/>
    <w:rsid w:val="00812200"/>
    <w:rsid w:val="0095452B"/>
    <w:rsid w:val="009C1B7A"/>
    <w:rsid w:val="00A9363F"/>
    <w:rsid w:val="00AE1332"/>
    <w:rsid w:val="00B02E4B"/>
    <w:rsid w:val="00BD2DFA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21</cp:revision>
  <dcterms:created xsi:type="dcterms:W3CDTF">2023-03-22T10:26:00Z</dcterms:created>
  <dcterms:modified xsi:type="dcterms:W3CDTF">2024-02-05T14:39:00Z</dcterms:modified>
</cp:coreProperties>
</file>