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00D5A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00D5A" w:rsidRPr="00200D5A" w:rsidRDefault="00912A2B" w:rsidP="00200D5A">
      <w:pPr>
        <w:suppressAutoHyphens w:val="0"/>
        <w:autoSpaceDE w:val="0"/>
        <w:adjustRightInd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200D5A">
        <w:rPr>
          <w:rFonts w:ascii="Calibri" w:hAnsi="Calibri" w:cs="Calibri"/>
          <w:b/>
          <w:sz w:val="22"/>
          <w:szCs w:val="22"/>
          <w:lang w:eastAsia="pl-PL"/>
        </w:rPr>
        <w:t>175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Sporządzenie operatów szacunkowych określających wartość nieruchomości (gruntu, części składowych oraz istniejących ograniczonych praw rzeczowych) położonych na ter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e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nie Powiatu Nowotarskiego w celu ustalenia odszkodowania za nieruchomości, które stały się wł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a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snością odpowiednich jednostek samorządu terytorialnego na mocy ostatecznych decyzji o zezw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leniu na realizację inwestycji drogowych, ostatecznych decyzji wydanych w trybie art. 73 ustawy Przepisy wprowadzające ustawy reformujące administrację publiczną oraz decyzji właściwych o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r</w:t>
      </w:r>
      <w:r w:rsidR="00200D5A"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ganów jednostek samorządu terytorialnego zatwierdzających podział w trybie art. 98 ustawy o gospodarce nieruchomościami. </w:t>
      </w:r>
    </w:p>
    <w:p w:rsidR="00200D5A" w:rsidRDefault="00200D5A" w:rsidP="00200D5A">
      <w:pPr>
        <w:pStyle w:val="Standard"/>
        <w:suppressAutoHyphens w:val="0"/>
        <w:autoSpaceDE w:val="0"/>
        <w:jc w:val="both"/>
        <w:rPr>
          <w:rFonts w:ascii="Calibri" w:hAnsi="Calibri" w:cs="Calibri"/>
          <w:kern w:val="0"/>
          <w:sz w:val="22"/>
          <w:szCs w:val="22"/>
        </w:rPr>
      </w:pP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200D5A" w:rsidRPr="00200D5A" w:rsidRDefault="00200D5A" w:rsidP="00200D5A">
      <w:pPr>
        <w:widowControl/>
        <w:numPr>
          <w:ilvl w:val="1"/>
          <w:numId w:val="12"/>
        </w:numPr>
        <w:autoSpaceDN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niezabudowany bez ograniczonych praw rzeczowych,</w:t>
      </w:r>
    </w:p>
    <w:p w:rsidR="00200D5A" w:rsidRPr="00200D5A" w:rsidRDefault="00200D5A" w:rsidP="00200D5A">
      <w:pPr>
        <w:widowControl/>
        <w:numPr>
          <w:ilvl w:val="1"/>
          <w:numId w:val="12"/>
        </w:numPr>
        <w:autoSpaceDN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niezabudowany z ograniczonymi prawami rzeczowymi,</w:t>
      </w:r>
    </w:p>
    <w:p w:rsidR="00200D5A" w:rsidRPr="00200D5A" w:rsidRDefault="00200D5A" w:rsidP="00200D5A">
      <w:pPr>
        <w:widowControl/>
        <w:numPr>
          <w:ilvl w:val="1"/>
          <w:numId w:val="12"/>
        </w:numPr>
        <w:autoSpaceDN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z częściami składowymi bez ograniczonych praw rzeczowych,</w:t>
      </w:r>
    </w:p>
    <w:p w:rsidR="00200D5A" w:rsidRPr="00200D5A" w:rsidRDefault="00200D5A" w:rsidP="00200D5A">
      <w:pPr>
        <w:widowControl/>
        <w:numPr>
          <w:ilvl w:val="1"/>
          <w:numId w:val="12"/>
        </w:numPr>
        <w:autoSpaceDN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z częściami składowymi z ograniczonymi prawami rzeczowymi.</w:t>
      </w:r>
    </w:p>
    <w:p w:rsidR="00200D5A" w:rsidRPr="00200D5A" w:rsidRDefault="00200D5A" w:rsidP="00200D5A">
      <w:pPr>
        <w:widowControl/>
        <w:numPr>
          <w:ilvl w:val="0"/>
          <w:numId w:val="16"/>
        </w:numPr>
        <w:autoSpaceDN/>
        <w:spacing w:line="276" w:lineRule="auto"/>
        <w:ind w:left="0" w:firstLine="0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Operaty szacunkowe muszą być wykonane zgodnie z: </w:t>
      </w:r>
    </w:p>
    <w:p w:rsidR="00200D5A" w:rsidRPr="00200D5A" w:rsidRDefault="00200D5A" w:rsidP="00200D5A">
      <w:pPr>
        <w:widowControl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ustawą z dnia 21 sierpnia 1997 r. o gospodarce nieruchomościami (Dz.U. z 2021 r. poz. 1899,                </w:t>
      </w:r>
      <w:bookmarkStart w:id="0" w:name="_GoBack"/>
      <w:bookmarkEnd w:id="0"/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z </w:t>
      </w:r>
      <w:proofErr w:type="spellStart"/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późn</w:t>
      </w:r>
      <w:proofErr w:type="spellEnd"/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. zm.); </w:t>
      </w:r>
    </w:p>
    <w:p w:rsidR="00200D5A" w:rsidRPr="00200D5A" w:rsidRDefault="00200D5A" w:rsidP="00200D5A">
      <w:pPr>
        <w:widowControl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rozporządzeniem Rady Ministrów z dnia 21 września 2004 r. w sprawie wyceny nieruchomości</w:t>
      </w: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i sporządzania operatu szacunkowego (Dz.U. z 2021 r., poz. 555); </w:t>
      </w:r>
    </w:p>
    <w:p w:rsidR="00200D5A" w:rsidRPr="00200D5A" w:rsidRDefault="00200D5A" w:rsidP="00200D5A">
      <w:pPr>
        <w:widowControl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Standardami Zawodowymi Polskiej Federacji Stowarzyszeń Rzeczoznawców Majątkowych; </w:t>
      </w:r>
    </w:p>
    <w:p w:rsidR="00200D5A" w:rsidRPr="00200D5A" w:rsidRDefault="00200D5A" w:rsidP="00200D5A">
      <w:pPr>
        <w:widowControl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innymi przepisami obowiązującymi w tym zakresie;</w:t>
      </w:r>
    </w:p>
    <w:p w:rsidR="00200D5A" w:rsidRPr="00200D5A" w:rsidRDefault="00200D5A" w:rsidP="00200D5A">
      <w:pPr>
        <w:widowControl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>Kodeksem Etyki Zawodowej Rzeczoznawców Majątkowych,</w:t>
      </w: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tj. rzetelnie, uczciwie, bezstronnie, z zachowaniem tajemnicy zawodowej </w:t>
      </w: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oraz z uwzględnieniem aktualnego stanowiska organów II instancji i orzecznictwa sądów.  </w:t>
      </w:r>
    </w:p>
    <w:p w:rsidR="00200D5A" w:rsidRPr="00200D5A" w:rsidRDefault="00200D5A" w:rsidP="00200D5A">
      <w:pPr>
        <w:widowControl/>
        <w:numPr>
          <w:ilvl w:val="0"/>
          <w:numId w:val="16"/>
        </w:numPr>
        <w:autoSpaceDN/>
        <w:spacing w:line="276" w:lineRule="auto"/>
        <w:ind w:left="23" w:hanging="2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W postępowaniach, na potrzeby których zostaną wykonane ww. opracowania rzeczoznawca majątkowy na wezwanie Zamawiającego zobowiązany jest do uczestnictwa w rozprawach </w:t>
      </w: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lastRenderedPageBreak/>
        <w:t xml:space="preserve">administracyjnych z udziałem stron prowadzonego postępowania (w wypadku konieczności </w:t>
      </w:r>
      <w:r w:rsidRPr="00200D5A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>ich przeprowadzenia) oraz do składania pisemnych wyjaśnień.</w:t>
      </w: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Najkorzystniejszą ofertą będzie ta, w której suma poszczególnych cen jednostkowych jest najniższa. </w:t>
      </w: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200D5A" w:rsidRPr="00200D5A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Zlecenia będą dokonywane sukcesywnie przez Wydział Gospodarki Nieruchomościami, stąd dopuszczenie wystawiania faktur cząstkowych za poszczególne etapy prac wykonanych                       </w:t>
      </w:r>
    </w:p>
    <w:p w:rsidR="003B3DE9" w:rsidRPr="003B3DE9" w:rsidRDefault="00200D5A" w:rsidP="00200D5A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200D5A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w terminach wynikających ze zlecenia.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3B3DE9"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Zlecenia będą dokonywane sukcesywnie przez Wydział Gospodarki Nieruchomościami, stąd dopuszczenie wystawiania faktur cząstkowych za poszczególne etapy prac wyk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onanych </w:t>
      </w:r>
      <w:r w:rsidR="003B3DE9"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 terminach wynikających ze zlecenia.</w:t>
      </w:r>
    </w:p>
    <w:p w:rsidR="003B3DE9" w:rsidRDefault="003B3DE9" w:rsidP="00521DD5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Pilch-Wójcik.</w:t>
      </w: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3B3DE9" w:rsidRPr="003B3DE9" w:rsidRDefault="003B3DE9" w:rsidP="003B3DE9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21DD5" w:rsidRPr="00521DD5" w:rsidRDefault="00521DD5" w:rsidP="00521DD5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zgodnie z zawartą umową -  4 tygodnie od otrzymania zlecenia dla poszczególnego zlecenia. </w:t>
      </w:r>
    </w:p>
    <w:p w:rsidR="003B3DE9" w:rsidRPr="003B3DE9" w:rsidRDefault="003B3DE9" w:rsidP="003B3DE9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2023 r.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lastRenderedPageBreak/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200D5A"/>
    <w:rsid w:val="003B3DE9"/>
    <w:rsid w:val="00521DD5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15</cp:revision>
  <cp:lastPrinted>2019-07-29T14:48:00Z</cp:lastPrinted>
  <dcterms:created xsi:type="dcterms:W3CDTF">2008-10-03T10:05:00Z</dcterms:created>
  <dcterms:modified xsi:type="dcterms:W3CDTF">2023-04-03T11:18:00Z</dcterms:modified>
</cp:coreProperties>
</file>