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D8C0" w14:textId="57496AB2" w:rsidR="00426435" w:rsidRPr="00F412F1" w:rsidRDefault="00014EA3" w:rsidP="007A61C9">
      <w:pPr>
        <w:pStyle w:val="Standard"/>
        <w:tabs>
          <w:tab w:val="right" w:pos="9360"/>
        </w:tabs>
        <w:jc w:val="right"/>
        <w:rPr>
          <w:b/>
          <w:bCs/>
          <w:sz w:val="18"/>
          <w:szCs w:val="18"/>
        </w:rPr>
      </w:pPr>
      <w:r w:rsidRPr="00F412F1">
        <w:rPr>
          <w:rFonts w:ascii="Calibri" w:hAnsi="Calibri" w:cs="Calibri"/>
          <w:b/>
          <w:bCs/>
          <w:sz w:val="22"/>
          <w:szCs w:val="22"/>
        </w:rPr>
        <w:t>Załącznik</w:t>
      </w:r>
      <w:r w:rsidR="007A61C9" w:rsidRPr="00F412F1">
        <w:rPr>
          <w:rFonts w:ascii="Calibri" w:hAnsi="Calibri" w:cs="Calibri"/>
          <w:b/>
          <w:bCs/>
          <w:sz w:val="22"/>
          <w:szCs w:val="22"/>
        </w:rPr>
        <w:t xml:space="preserve"> Nr </w:t>
      </w:r>
      <w:r w:rsidR="00AC7BED">
        <w:rPr>
          <w:rFonts w:ascii="Calibri" w:hAnsi="Calibri" w:cs="Calibri"/>
          <w:b/>
          <w:bCs/>
          <w:sz w:val="22"/>
          <w:szCs w:val="22"/>
        </w:rPr>
        <w:t>5</w:t>
      </w:r>
      <w:r w:rsidR="007A61C9" w:rsidRPr="00F412F1">
        <w:rPr>
          <w:rFonts w:ascii="Calibri" w:hAnsi="Calibri" w:cs="Calibri"/>
          <w:b/>
          <w:bCs/>
          <w:sz w:val="22"/>
          <w:szCs w:val="22"/>
        </w:rPr>
        <w:t xml:space="preserve">  do SWZ/ZP/PN -9/2021</w:t>
      </w:r>
      <w:r w:rsidRPr="00F412F1">
        <w:rPr>
          <w:b/>
          <w:bCs/>
        </w:rPr>
        <w:t xml:space="preserve">  </w:t>
      </w:r>
      <w:r w:rsidRPr="00F412F1">
        <w:rPr>
          <w:b/>
          <w:bCs/>
        </w:rPr>
        <w:br/>
        <w:t xml:space="preserve"> </w:t>
      </w:r>
    </w:p>
    <w:p w14:paraId="477FE7EF" w14:textId="4E746BE5" w:rsidR="00426435" w:rsidRPr="007A61C9" w:rsidRDefault="007A61C9">
      <w:pPr>
        <w:rPr>
          <w:b/>
          <w:bCs w:val="0"/>
        </w:rPr>
      </w:pPr>
      <w:r w:rsidRPr="007A61C9">
        <w:rPr>
          <w:b/>
          <w:bCs w:val="0"/>
        </w:rPr>
        <w:t xml:space="preserve">PAKIET NR 1   </w:t>
      </w:r>
    </w:p>
    <w:p w14:paraId="10F19FC8" w14:textId="49F6D7D0" w:rsidR="00426435" w:rsidRDefault="00014EA3">
      <w:pPr>
        <w:jc w:val="center"/>
      </w:pPr>
      <w:r>
        <w:t>Warunki graniczne analizatora biochemicznego</w:t>
      </w:r>
    </w:p>
    <w:tbl>
      <w:tblPr>
        <w:tblW w:w="90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6378"/>
        <w:gridCol w:w="2181"/>
      </w:tblGrid>
      <w:tr w:rsidR="00426435" w14:paraId="21D8774E" w14:textId="77777777">
        <w:trPr>
          <w:trHeight w:val="6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B7AF9" w14:textId="77777777" w:rsidR="00426435" w:rsidRDefault="00014EA3">
            <w:pPr>
              <w:spacing w:after="0" w:line="240" w:lineRule="auto"/>
              <w:jc w:val="center"/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  <w:t>Lp.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96898" w14:textId="77777777" w:rsidR="00426435" w:rsidRDefault="00014EA3">
            <w:pPr>
              <w:spacing w:after="0" w:line="240" w:lineRule="auto"/>
              <w:jc w:val="center"/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  <w:t>Parametry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E434A" w14:textId="77777777" w:rsidR="00426435" w:rsidRDefault="00014EA3">
            <w:pPr>
              <w:spacing w:after="0" w:line="240" w:lineRule="auto"/>
              <w:jc w:val="center"/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shd w:val="clear" w:color="auto" w:fill="FFFF00"/>
                <w:lang w:eastAsia="pl-PL"/>
              </w:rPr>
              <w:t>TAK/NIE</w:t>
            </w:r>
          </w:p>
        </w:tc>
      </w:tr>
      <w:tr w:rsidR="00426435" w14:paraId="69F12373" w14:textId="77777777">
        <w:trPr>
          <w:trHeight w:val="113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5A3E9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DDA71" w14:textId="439CB3FC" w:rsidR="00426435" w:rsidRDefault="00014EA3">
            <w:pPr>
              <w:spacing w:after="0" w:line="240" w:lineRule="auto"/>
              <w:jc w:val="both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 xml:space="preserve">Analizator nowy, nie starszy niż 2021 rok, wieloparametrowe, swobodnego dostępu,  wolnostojący lub </w:t>
            </w:r>
            <w:proofErr w:type="spellStart"/>
            <w:r>
              <w:rPr>
                <w:rFonts w:eastAsia="Times New Roman"/>
                <w:bCs w:val="0"/>
                <w:lang w:eastAsia="pl-PL"/>
              </w:rPr>
              <w:t>nastołowy</w:t>
            </w:r>
            <w:proofErr w:type="spellEnd"/>
            <w:r>
              <w:rPr>
                <w:rFonts w:eastAsia="Times New Roman"/>
                <w:bCs w:val="0"/>
                <w:lang w:eastAsia="pl-PL"/>
              </w:rPr>
              <w:t>, z zestawem komputerowym</w:t>
            </w:r>
            <w:r w:rsidR="009554E3">
              <w:rPr>
                <w:rFonts w:eastAsia="Times New Roman"/>
                <w:bCs w:val="0"/>
                <w:lang w:eastAsia="pl-PL"/>
              </w:rPr>
              <w:t xml:space="preserve"> TYP/Model, rok produkcji, Producent, Kraj pochodzenia - podać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EEC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0E72533E" w14:textId="77777777">
        <w:trPr>
          <w:trHeight w:val="272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9DB9A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A8135" w14:textId="77777777" w:rsidR="00426435" w:rsidRDefault="00014EA3">
            <w:pPr>
              <w:spacing w:after="0" w:line="240" w:lineRule="auto"/>
              <w:jc w:val="both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System całkowicie otwarty odczynnikowo, oznaczenia w fazie ciekłej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B951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CF2CD6C" w14:textId="77777777">
        <w:trPr>
          <w:trHeight w:val="417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02F7E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3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AC79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Wydajność analizatora min. 340 oznaczeń fotometrycznych na godzinę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6FADD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6983370E" w14:textId="77777777">
        <w:trPr>
          <w:trHeight w:val="55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F799C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4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9133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Wydajność modułu ISE powyżej 130 oznaczeń na godzinę  z wykorzystaniem     potencjometrii bezpośredniej. Elektrody bezobsługowe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1F72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525E61A7" w14:textId="77777777">
        <w:trPr>
          <w:trHeight w:val="684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41483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5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3CC2A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Możliwość oznaczania enzymów, substratów, jonów ISE, białek specyficznych .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C5AA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4C17B43F" w14:textId="77777777">
        <w:trPr>
          <w:trHeight w:val="600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2B39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6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7DE3B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Zintegrowany z analizatorem moduł ISE. Możliwość oznaczania sodu, potasu i chlorków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563E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27BB5400" w14:textId="77777777">
        <w:trPr>
          <w:trHeight w:val="905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AA85B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7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9923C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Przedział odczynnikowy na min. 40 miejsc. Możliwość zastosowania 1-4 odczynników na test. Identyfikacja odczynników z zastosowaniem wewnętrznego czytnika kodów paskowych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BE635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D677E34" w14:textId="77777777">
        <w:trPr>
          <w:trHeight w:val="76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2482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8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8182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 xml:space="preserve">Uzupełnienie odczynników, próbek kuwet w każdej fazie pracy aparatu ( bez konieczności zmiany trybu pracy na </w:t>
            </w:r>
            <w:proofErr w:type="spellStart"/>
            <w:r>
              <w:rPr>
                <w:rFonts w:eastAsia="Times New Roman"/>
                <w:bCs w:val="0"/>
                <w:lang w:eastAsia="pl-PL"/>
              </w:rPr>
              <w:t>standby</w:t>
            </w:r>
            <w:proofErr w:type="spellEnd"/>
            <w:r>
              <w:rPr>
                <w:rFonts w:eastAsia="Times New Roman"/>
                <w:bCs w:val="0"/>
                <w:lang w:eastAsia="pl-PL"/>
              </w:rPr>
              <w:t>, pauza itp.)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36B4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66B50243" w14:textId="77777777">
        <w:trPr>
          <w:trHeight w:val="648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14A9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9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73115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Chłodzenie odczynników  pozwalające na przechowywanie odczynników na pokładzie analizatora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2F59A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718DBBD" w14:textId="77777777">
        <w:trPr>
          <w:trHeight w:val="699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4C51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10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8F944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Minimum 50 pozycji na próbki badane, możliwość ciągłego dodawania próbek bez konieczności przerywania pracy aparatu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F623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4888EC45" w14:textId="77777777">
        <w:trPr>
          <w:trHeight w:val="735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294C3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11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1D20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Wewnętrzny czytnik kodów paskowych dla próbek pacjenta oraz zastosowanie różnego rodzaju probówek i kubeczków na surowicę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36AE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81A25DF" w14:textId="77777777">
        <w:trPr>
          <w:trHeight w:val="100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CF08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12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34BC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Automatyczne rozcieńczanie próbek: wstępne i dodatkowe po przekroczeniu liniowości testu. Możliwość przygotowania szeregu rozcieńczeń m. in. dla stężonych kalibratorów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DB1C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0F9FCF00" w14:textId="77777777">
        <w:trPr>
          <w:trHeight w:val="612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B88D2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13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CAB9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Kuwety jednorazowe, automatyczny zmieniacz kuwet. Maksymalna objętość mieszaniny reakcyjnej w kuwecie   do 300 ul.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FAEB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323C335" w14:textId="77777777">
        <w:trPr>
          <w:trHeight w:val="54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4DEFD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B34EE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 xml:space="preserve">Graficzna i liczbowa prezentacja wyników kontroli jakości badań, reguł </w:t>
            </w:r>
            <w:proofErr w:type="spellStart"/>
            <w:r>
              <w:rPr>
                <w:rFonts w:eastAsia="Times New Roman"/>
                <w:bCs w:val="0"/>
                <w:lang w:eastAsia="pl-PL"/>
              </w:rPr>
              <w:t>Westgarda</w:t>
            </w:r>
            <w:proofErr w:type="spellEnd"/>
            <w:r>
              <w:rPr>
                <w:rFonts w:eastAsia="Times New Roman"/>
                <w:bCs w:val="0"/>
                <w:lang w:eastAsia="pl-PL"/>
              </w:rPr>
              <w:t>. Dzienne i zbiorcze raporty kontrolne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A379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5D469C5F" w14:textId="77777777">
        <w:trPr>
          <w:trHeight w:val="56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492A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B1F07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Analizator pracujący bez stacji uzdatniania wody. Zużycie wody poniżej 3 litrów na godzinę pracy aparatu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2543E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025D7276" w14:textId="77777777">
        <w:trPr>
          <w:trHeight w:val="300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9DE25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C3863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UPS - podtrzymujący pracę analizatora i komputera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C0D0C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12A73A77" w14:textId="77777777">
        <w:trPr>
          <w:trHeight w:val="38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CB7F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A40D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 xml:space="preserve">W przypadku analizatora </w:t>
            </w:r>
            <w:proofErr w:type="spellStart"/>
            <w:r>
              <w:rPr>
                <w:rFonts w:eastAsia="Times New Roman"/>
                <w:bCs w:val="0"/>
                <w:lang w:eastAsia="pl-PL"/>
              </w:rPr>
              <w:t>nastołowego</w:t>
            </w:r>
            <w:proofErr w:type="spellEnd"/>
            <w:r>
              <w:rPr>
                <w:rFonts w:eastAsia="Times New Roman"/>
                <w:bCs w:val="0"/>
                <w:lang w:eastAsia="pl-PL"/>
              </w:rPr>
              <w:t xml:space="preserve"> Zamawiający wymaga dostarczenia stół pod analizator.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58AB5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4402EA05" w14:textId="77777777">
        <w:trPr>
          <w:trHeight w:val="38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AB2A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3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5BA0A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 xml:space="preserve">Oferent dostarczy autoryzowane przez producenta aparatu aplikacje na oferowane odczynniki i ich karty charakterystyki, które będzie można wykorzystać na analizatorze </w:t>
            </w:r>
            <w:proofErr w:type="spellStart"/>
            <w:r>
              <w:rPr>
                <w:rFonts w:eastAsia="Times New Roman"/>
                <w:bCs w:val="0"/>
                <w:lang w:eastAsia="pl-PL"/>
              </w:rPr>
              <w:t>Konelab</w:t>
            </w:r>
            <w:proofErr w:type="spellEnd"/>
            <w:r>
              <w:rPr>
                <w:rFonts w:eastAsia="Times New Roman"/>
                <w:bCs w:val="0"/>
                <w:lang w:eastAsia="pl-PL"/>
              </w:rPr>
              <w:t xml:space="preserve"> 20 ISE, który jest własnością zamawiającego.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F02FF" w14:textId="77777777" w:rsidR="00426435" w:rsidRDefault="00426435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</w:p>
        </w:tc>
      </w:tr>
      <w:tr w:rsidR="00426435" w14:paraId="28D4E0A6" w14:textId="77777777" w:rsidTr="00F412F1">
        <w:trPr>
          <w:trHeight w:val="83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8A58C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3BCA3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lang w:eastAsia="pl-PL"/>
              </w:rPr>
            </w:pPr>
            <w:r>
              <w:rPr>
                <w:rFonts w:eastAsia="Times New Roman"/>
                <w:bCs w:val="0"/>
                <w:lang w:eastAsia="pl-PL"/>
              </w:rPr>
              <w:t>Zamawiający w każdym momencie może żądać dostarczenia metodyk, aplikacji, folderów itd.. w toku oceny ofert. Bezpłatna instalacja i szkolenie z obsługi analizatora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86559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pl-PL"/>
              </w:rPr>
              <w:t> </w:t>
            </w:r>
          </w:p>
        </w:tc>
      </w:tr>
      <w:tr w:rsidR="00426435" w14:paraId="49D2F409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B079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DEF2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 xml:space="preserve">Termin dostawy i instalacji aparatów do 21 dni od dnia podpisania umowy.  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DD00B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6A1C34F1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8E66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B9B77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 xml:space="preserve">Wykonawca podłączy analizator do systemu LIS na swój koszt.  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7F7D9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2B1802A3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7FE2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E20FE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Wykonawca dostarczy zestaw komputerowy.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48FA8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0F5274EF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A028D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0C52D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 xml:space="preserve">Oferent na okres umowy zagwarantuje bezpłatne uczestnictwo w kontroli zewnątrz laboratoryjnej </w:t>
            </w:r>
            <w:proofErr w:type="spellStart"/>
            <w:r>
              <w:rPr>
                <w:rFonts w:eastAsia="Times New Roman"/>
                <w:bCs w:val="0"/>
                <w:color w:val="auto"/>
                <w:lang w:eastAsia="pl-PL"/>
              </w:rPr>
              <w:t>StandLab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8FCAE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44EF1804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CA08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67119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Oferent wprowadzi nie odpłatnie aplikacje na zaoferowane odczynniki (na każde wezwanie Zamawiającego)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D85B4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139B7ECC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9323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72204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Oferent dostarczy karty charakterystyki substancji niebezpiecznych na żądanie Zamawiającego.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0F7B5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4FFFDBDA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C19B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492B9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Oferent zagwarantuje bezpłatny dostęp do autoryzowanego serwisu na czas trwania umowy ( dotyczy przeglądu rocznego)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D90FC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7FA3152C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21EE7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83C30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W przypadku awarii analizatora głównego trwającej dłużej niż pięć dni Oferent zobligowany jest dostarczyć analizator zastępczy na czas naprawy.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9E717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6DCB8AFE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0458D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902C6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Analizator wyposażony w komplet elektrod (sód, potas, chlorki i el. Referencyjna) i wszystkie niezbędne akcesoria.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2385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73E522CD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01EC5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94600" w14:textId="77777777" w:rsidR="00426435" w:rsidRPr="00F412F1" w:rsidRDefault="00014EA3">
            <w:pPr>
              <w:spacing w:after="0" w:line="240" w:lineRule="auto"/>
              <w:rPr>
                <w:rFonts w:eastAsia="Times New Roman"/>
                <w:b/>
                <w:color w:val="auto"/>
                <w:lang w:eastAsia="pl-PL"/>
              </w:rPr>
            </w:pPr>
            <w:r w:rsidRPr="00F412F1">
              <w:rPr>
                <w:rFonts w:eastAsia="Times New Roman"/>
                <w:b/>
                <w:color w:val="auto"/>
                <w:lang w:eastAsia="pl-PL"/>
              </w:rPr>
              <w:t>Opis parametrów punktowanych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F776C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13C6445C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517FF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65F7C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Sczytywanie wartości kontroli, kalibratorów, aplikacji, za pomocą skanera kodów kreskowych</w:t>
            </w:r>
          </w:p>
          <w:p w14:paraId="7E2A0DAE" w14:textId="745A966E" w:rsidR="00426435" w:rsidRDefault="00426435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BD34F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77CD6FC9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93BEA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C4638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 xml:space="preserve">Możliwość oznaczania alkoholu etylowego  </w:t>
            </w:r>
          </w:p>
          <w:p w14:paraId="7FDE8D62" w14:textId="5249EB54" w:rsidR="00426435" w:rsidRDefault="00426435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2EDE7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79B0D1EB" w14:textId="77777777">
        <w:trPr>
          <w:trHeight w:val="7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66D0E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26F73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Analizatory do 1 metra szerokości</w:t>
            </w:r>
          </w:p>
          <w:p w14:paraId="030A85EB" w14:textId="5E712AD9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 xml:space="preserve">.     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034A7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426435" w14:paraId="7B1067F6" w14:textId="77777777" w:rsidTr="00AC7BED">
        <w:trPr>
          <w:trHeight w:val="33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220C1" w14:textId="77777777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F53AC" w14:textId="4DF62D9D" w:rsidR="00426435" w:rsidRDefault="00014EA3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lang w:eastAsia="pl-PL"/>
              </w:rPr>
              <w:t>Detektor skrzepu</w:t>
            </w:r>
          </w:p>
          <w:p w14:paraId="6C19B2DE" w14:textId="3685B953" w:rsidR="00426435" w:rsidRDefault="00426435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FD022" w14:textId="77777777" w:rsidR="00426435" w:rsidRDefault="00426435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  <w:tr w:rsidR="00AC7BED" w14:paraId="7589302D" w14:textId="77777777" w:rsidTr="00AC7BED">
        <w:trPr>
          <w:trHeight w:val="909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AC765" w14:textId="777777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33</w:t>
            </w:r>
          </w:p>
          <w:p w14:paraId="03CC32F6" w14:textId="777777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</w:p>
          <w:p w14:paraId="605BD2B1" w14:textId="777777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</w:p>
          <w:p w14:paraId="750087DD" w14:textId="777777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</w:p>
          <w:p w14:paraId="3C411F41" w14:textId="3DAEC6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 w:val="0"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7B7A0" w14:textId="77777777" w:rsidR="00AC7BED" w:rsidRDefault="00AC7BED" w:rsidP="00AC7BED">
            <w:pPr>
              <w:pStyle w:val="Standard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</w:rPr>
            </w:pPr>
          </w:p>
          <w:p w14:paraId="1033D692" w14:textId="018B6AAA" w:rsidR="00AC7BED" w:rsidRPr="00AC7BED" w:rsidRDefault="00AC7BED" w:rsidP="00AC7BED">
            <w:pPr>
              <w:pStyle w:val="Standard"/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AC7BED">
              <w:rPr>
                <w:rFonts w:ascii="Calibri" w:hAnsi="Calibri" w:cs="Calibri"/>
                <w:sz w:val="20"/>
              </w:rPr>
              <w:t xml:space="preserve">Zamawiający wymaga, żeby przez okres gwarancji ( wymagane 24 m-ce) obsługa analizatora odbywała się bez-kosztowo </w:t>
            </w:r>
            <w:proofErr w:type="spellStart"/>
            <w:r w:rsidRPr="00AC7BED">
              <w:rPr>
                <w:rFonts w:ascii="Calibri" w:hAnsi="Calibri" w:cs="Calibri"/>
                <w:sz w:val="20"/>
              </w:rPr>
              <w:t>tj</w:t>
            </w:r>
            <w:proofErr w:type="spellEnd"/>
            <w:r w:rsidRPr="00AC7BED">
              <w:rPr>
                <w:rFonts w:ascii="Calibri" w:hAnsi="Calibri" w:cs="Calibri"/>
                <w:sz w:val="20"/>
              </w:rPr>
              <w:t xml:space="preserve"> przeglądy- ilość zgodnie z zaleceniami producenta, serwisowanie, wymiana niezbędnych części zamiennych, olejów itp.</w:t>
            </w:r>
          </w:p>
          <w:p w14:paraId="2958CC98" w14:textId="77777777" w:rsidR="00AC7BED" w:rsidRDefault="00AC7BED" w:rsidP="00AC7BED">
            <w:pPr>
              <w:spacing w:after="0" w:line="240" w:lineRule="auto"/>
              <w:rPr>
                <w:rFonts w:eastAsia="Times New Roman"/>
                <w:bCs w:val="0"/>
                <w:color w:val="auto"/>
                <w:lang w:eastAsia="pl-PL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D9DBD" w14:textId="77777777" w:rsidR="00AC7BED" w:rsidRDefault="00AC7BED">
            <w:pPr>
              <w:spacing w:after="0" w:line="240" w:lineRule="auto"/>
              <w:rPr>
                <w:rFonts w:ascii="Arial" w:eastAsia="Times New Roman" w:hAnsi="Arial"/>
                <w:bCs w:val="0"/>
                <w:color w:val="auto"/>
                <w:lang w:eastAsia="pl-PL"/>
              </w:rPr>
            </w:pPr>
          </w:p>
        </w:tc>
      </w:tr>
    </w:tbl>
    <w:p w14:paraId="198DF480" w14:textId="77777777" w:rsidR="007D779D" w:rsidRDefault="007D779D" w:rsidP="007D779D">
      <w:pPr>
        <w:pStyle w:val="Standard"/>
        <w:tabs>
          <w:tab w:val="left" w:pos="567"/>
        </w:tabs>
        <w:ind w:left="708"/>
        <w:rPr>
          <w:rFonts w:ascii="Calibri" w:hAnsi="Calibri" w:cs="Arial"/>
          <w:sz w:val="22"/>
          <w:szCs w:val="22"/>
        </w:rPr>
      </w:pPr>
    </w:p>
    <w:p w14:paraId="43B9725B" w14:textId="61E2E0E5" w:rsidR="007D779D" w:rsidRPr="007D779D" w:rsidRDefault="007D779D" w:rsidP="007D779D">
      <w:pPr>
        <w:shd w:val="clear" w:color="auto" w:fill="FFFFFF"/>
        <w:tabs>
          <w:tab w:val="left" w:pos="284"/>
        </w:tabs>
        <w:suppressAutoHyphens w:val="0"/>
        <w:autoSpaceDN/>
        <w:spacing w:after="120" w:line="200" w:lineRule="atLeast"/>
        <w:ind w:left="284"/>
        <w:rPr>
          <w:rFonts w:eastAsia="Times New Roman" w:cs="Calibri"/>
          <w:bCs w:val="0"/>
          <w:i/>
          <w:iCs/>
          <w:color w:val="auto"/>
          <w:sz w:val="24"/>
          <w:szCs w:val="24"/>
          <w:lang w:eastAsia="pl-PL"/>
        </w:rPr>
      </w:pPr>
      <w:r w:rsidRPr="007D779D">
        <w:rPr>
          <w:bCs w:val="0"/>
          <w:color w:val="auto"/>
          <w:sz w:val="22"/>
          <w:szCs w:val="22"/>
          <w:lang w:eastAsia="pl-PL"/>
        </w:rPr>
        <w:t>Instrukcje odczynnikowe wraz z aplikacjami na aparat</w:t>
      </w:r>
      <w:r>
        <w:rPr>
          <w:bCs w:val="0"/>
          <w:color w:val="auto"/>
          <w:sz w:val="22"/>
          <w:szCs w:val="22"/>
          <w:lang w:eastAsia="pl-PL"/>
        </w:rPr>
        <w:t>y</w:t>
      </w:r>
      <w:r w:rsidRPr="007D779D">
        <w:rPr>
          <w:bCs w:val="0"/>
          <w:color w:val="auto"/>
          <w:sz w:val="22"/>
          <w:szCs w:val="22"/>
          <w:lang w:eastAsia="pl-PL"/>
        </w:rPr>
        <w:t xml:space="preserve"> do biochemii </w:t>
      </w:r>
      <w:r w:rsidRPr="007D779D">
        <w:rPr>
          <w:bCs w:val="0"/>
          <w:i/>
          <w:iCs/>
          <w:color w:val="auto"/>
          <w:sz w:val="22"/>
          <w:szCs w:val="22"/>
          <w:lang w:eastAsia="pl-PL"/>
        </w:rPr>
        <w:t>( z ofertą) Zamawiający wymaga wprowadzenia aplikacji odczynnikowej do nowego, zaproponowanego analizatora jak również do analizatora posiadanego ( KONELAB 20i)</w:t>
      </w:r>
    </w:p>
    <w:p w14:paraId="79332C9C" w14:textId="57DAA016" w:rsidR="00426435" w:rsidRDefault="00426435">
      <w:pPr>
        <w:pStyle w:val="Standard"/>
        <w:tabs>
          <w:tab w:val="left" w:pos="567"/>
        </w:tabs>
        <w:ind w:left="900"/>
        <w:jc w:val="both"/>
        <w:rPr>
          <w:rFonts w:ascii="Calibri" w:hAnsi="Calibri" w:cs="Arial"/>
          <w:sz w:val="22"/>
          <w:szCs w:val="22"/>
        </w:rPr>
      </w:pPr>
    </w:p>
    <w:p w14:paraId="793C3F3C" w14:textId="77777777" w:rsidR="007D779D" w:rsidRDefault="007D779D">
      <w:pPr>
        <w:pStyle w:val="Standard"/>
        <w:tabs>
          <w:tab w:val="left" w:pos="567"/>
        </w:tabs>
        <w:ind w:left="900"/>
        <w:jc w:val="both"/>
        <w:rPr>
          <w:rFonts w:ascii="Calibri" w:hAnsi="Calibri" w:cs="Arial"/>
          <w:sz w:val="22"/>
          <w:szCs w:val="22"/>
        </w:rPr>
      </w:pPr>
    </w:p>
    <w:p w14:paraId="3B436797" w14:textId="77777777" w:rsidR="00426435" w:rsidRDefault="00014EA3">
      <w:pPr>
        <w:pStyle w:val="Standard"/>
        <w:tabs>
          <w:tab w:val="left" w:pos="567"/>
        </w:tabs>
        <w:ind w:left="90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............................................</w:t>
      </w:r>
    </w:p>
    <w:p w14:paraId="23E9DCB5" w14:textId="77777777" w:rsidR="00426435" w:rsidRDefault="00014EA3">
      <w:pPr>
        <w:pStyle w:val="Standard"/>
        <w:ind w:firstLine="144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Miejscowość i data</w:t>
      </w:r>
    </w:p>
    <w:p w14:paraId="5DC4BEDA" w14:textId="77777777" w:rsidR="00426435" w:rsidRDefault="00014EA3">
      <w:pPr>
        <w:pStyle w:val="Standard"/>
        <w:tabs>
          <w:tab w:val="left" w:pos="567"/>
        </w:tabs>
        <w:ind w:left="90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…..………………..………………………..</w:t>
      </w:r>
    </w:p>
    <w:p w14:paraId="5FDAACC0" w14:textId="77777777" w:rsidR="00426435" w:rsidRDefault="00014EA3">
      <w:pPr>
        <w:pStyle w:val="Standard"/>
        <w:tabs>
          <w:tab w:val="left" w:pos="5580"/>
        </w:tabs>
        <w:ind w:left="900" w:firstLine="5400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podpis i pieczęć osoby uprawnionej</w:t>
      </w:r>
    </w:p>
    <w:p w14:paraId="318E7EBD" w14:textId="32888614" w:rsidR="00426435" w:rsidRPr="00C45B23" w:rsidRDefault="00014EA3" w:rsidP="00C45B23">
      <w:pPr>
        <w:pStyle w:val="Standard"/>
        <w:ind w:left="900" w:firstLine="5400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do reprezentowania Wykonawcy</w:t>
      </w:r>
    </w:p>
    <w:sectPr w:rsidR="00426435" w:rsidRPr="00C45B23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D359" w14:textId="77777777" w:rsidR="0058546F" w:rsidRDefault="0058546F">
      <w:pPr>
        <w:spacing w:after="0" w:line="240" w:lineRule="auto"/>
      </w:pPr>
      <w:r>
        <w:separator/>
      </w:r>
    </w:p>
  </w:endnote>
  <w:endnote w:type="continuationSeparator" w:id="0">
    <w:p w14:paraId="70D3FAD3" w14:textId="77777777" w:rsidR="0058546F" w:rsidRDefault="005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776C" w14:textId="77777777" w:rsidR="0061455B" w:rsidRDefault="00014EA3">
    <w:pPr>
      <w:pStyle w:val="Stopka"/>
      <w:jc w:val="center"/>
    </w:pPr>
    <w:r>
      <w:t xml:space="preserve">str.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78B4786" w14:textId="77777777" w:rsidR="0061455B" w:rsidRDefault="00585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9900" w14:textId="77777777" w:rsidR="0058546F" w:rsidRDefault="0058546F">
      <w:pPr>
        <w:spacing w:after="0" w:line="240" w:lineRule="auto"/>
      </w:pPr>
      <w:r>
        <w:separator/>
      </w:r>
    </w:p>
  </w:footnote>
  <w:footnote w:type="continuationSeparator" w:id="0">
    <w:p w14:paraId="1E95F36C" w14:textId="77777777" w:rsidR="0058546F" w:rsidRDefault="005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73D"/>
    <w:multiLevelType w:val="hybridMultilevel"/>
    <w:tmpl w:val="F4F2722A"/>
    <w:lvl w:ilvl="0" w:tplc="27E27378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35"/>
    <w:rsid w:val="00014EA3"/>
    <w:rsid w:val="001B6F0A"/>
    <w:rsid w:val="00214985"/>
    <w:rsid w:val="002A696A"/>
    <w:rsid w:val="00406DBB"/>
    <w:rsid w:val="00426435"/>
    <w:rsid w:val="004F496B"/>
    <w:rsid w:val="0058546F"/>
    <w:rsid w:val="005E3D9C"/>
    <w:rsid w:val="007A61C9"/>
    <w:rsid w:val="007D779D"/>
    <w:rsid w:val="009554E3"/>
    <w:rsid w:val="009F6F50"/>
    <w:rsid w:val="00A83D3B"/>
    <w:rsid w:val="00AC7BED"/>
    <w:rsid w:val="00C45B23"/>
    <w:rsid w:val="00CF7186"/>
    <w:rsid w:val="00D91086"/>
    <w:rsid w:val="00DE302D"/>
    <w:rsid w:val="00E960C3"/>
    <w:rsid w:val="00F412F1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3A2E"/>
  <w15:docId w15:val="{8C2A6072-931A-47B8-96DC-33FD79E3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bCs/>
        <w:color w:val="000000"/>
        <w:lang w:val="pl-PL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Cs w:val="0"/>
      <w:color w:val="auto"/>
      <w:sz w:val="24"/>
      <w:lang w:eastAsia="pl-PL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spzozrypin</cp:lastModifiedBy>
  <cp:revision>19</cp:revision>
  <cp:lastPrinted>2021-09-06T07:17:00Z</cp:lastPrinted>
  <dcterms:created xsi:type="dcterms:W3CDTF">2021-09-07T12:28:00Z</dcterms:created>
  <dcterms:modified xsi:type="dcterms:W3CDTF">2021-09-13T12:14:00Z</dcterms:modified>
</cp:coreProperties>
</file>