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0A1AB62" w14:textId="2792B232" w:rsidR="005D2C95" w:rsidRDefault="002F7C54" w:rsidP="007C169A">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7C169A">
        <w:rPr>
          <w:rFonts w:ascii="Arial" w:eastAsia="Calibri" w:hAnsi="Arial"/>
          <w:b/>
          <w:sz w:val="28"/>
          <w:szCs w:val="28"/>
        </w:rPr>
        <w:t>sprzętu jednorazowego</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3D4A2344"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7C169A">
        <w:rPr>
          <w:rFonts w:ascii="Arial" w:eastAsia="Arial" w:hAnsi="Arial"/>
          <w:kern w:val="0"/>
          <w:sz w:val="28"/>
          <w:szCs w:val="20"/>
          <w:u w:val="single"/>
          <w:lang w:eastAsia="pl-PL" w:bidi="ar-SA"/>
        </w:rPr>
        <w:t>48/2</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64E41984"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31091E">
        <w:rPr>
          <w:rFonts w:ascii="Arial" w:eastAsia="Arial" w:hAnsi="Arial"/>
          <w:kern w:val="0"/>
          <w:szCs w:val="20"/>
          <w:lang w:eastAsia="pl-PL" w:bidi="ar-SA"/>
        </w:rPr>
        <w:t>09</w:t>
      </w:r>
      <w:r w:rsidR="000E2D87" w:rsidRPr="000E2D87">
        <w:rPr>
          <w:rFonts w:ascii="Arial" w:eastAsia="Arial" w:hAnsi="Arial"/>
          <w:kern w:val="0"/>
          <w:szCs w:val="20"/>
          <w:lang w:eastAsia="pl-PL" w:bidi="ar-SA"/>
        </w:rPr>
        <w:t>.09</w:t>
      </w:r>
      <w:r w:rsidRPr="000E2D87">
        <w:rPr>
          <w:rFonts w:ascii="Arial" w:eastAsia="Arial" w:hAnsi="Arial"/>
          <w:kern w:val="0"/>
          <w:szCs w:val="20"/>
          <w:lang w:eastAsia="pl-PL" w:bidi="ar-SA"/>
        </w:rPr>
        <w:t>.202</w:t>
      </w:r>
      <w:r w:rsidR="006C3CA2" w:rsidRPr="000E2D87">
        <w:rPr>
          <w:rFonts w:ascii="Arial" w:eastAsia="Arial" w:hAnsi="Arial"/>
          <w:kern w:val="0"/>
          <w:szCs w:val="20"/>
          <w:lang w:eastAsia="pl-PL" w:bidi="ar-SA"/>
        </w:rPr>
        <w:t>4</w:t>
      </w:r>
      <w:r w:rsidRPr="000E2D87">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77777777"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2023 r. poz. 1605 z </w:t>
      </w:r>
      <w:proofErr w:type="spellStart"/>
      <w:r w:rsidRPr="005F504D">
        <w:rPr>
          <w:rFonts w:ascii="Arial" w:eastAsia="Calibri" w:hAnsi="Arial" w:cs="Arial"/>
          <w:sz w:val="22"/>
          <w:szCs w:val="22"/>
        </w:rPr>
        <w:t>późn</w:t>
      </w:r>
      <w:proofErr w:type="spellEnd"/>
      <w:r w:rsidRPr="005F504D">
        <w:rPr>
          <w:rFonts w:ascii="Arial" w:eastAsia="Calibri" w:hAnsi="Arial" w:cs="Arial"/>
          <w:sz w:val="22"/>
          <w:szCs w:val="22"/>
        </w:rPr>
        <w:t xml:space="preserve">. zm.) zwaną dalej „ustawą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na podstawie art. 132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 trybie przetargu nieograniczonego. W zakresie nieuregulowanym w SWZ, stosuje się przepisy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6E37FEA4" w14:textId="7026C4A6"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4C1E74" w:rsidRPr="002D5D48">
          <w:rPr>
            <w:rStyle w:val="Hipercze"/>
            <w:rFonts w:ascii="Arial" w:hAnsi="Arial" w:cs="Arial"/>
          </w:rPr>
          <w:t xml:space="preserve">https://platformazakupowa.pl/transakcja/977356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7844A543" w:rsidR="005E4C52" w:rsidRPr="007C169A" w:rsidRDefault="007F4CCD" w:rsidP="007C169A">
      <w:pPr>
        <w:pStyle w:val="Akapitzlist"/>
        <w:numPr>
          <w:ilvl w:val="3"/>
          <w:numId w:val="2"/>
        </w:numPr>
        <w:suppressAutoHyphens w:val="0"/>
        <w:autoSpaceDN/>
        <w:spacing w:line="276" w:lineRule="auto"/>
        <w:ind w:left="426" w:hanging="426"/>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4C1E74">
        <w:rPr>
          <w:rFonts w:ascii="Arial" w:hAnsi="Arial" w:cs="Arial"/>
          <w:b/>
          <w:bCs/>
          <w:sz w:val="22"/>
          <w:szCs w:val="22"/>
        </w:rPr>
        <w:t xml:space="preserve">dostawa </w:t>
      </w:r>
      <w:r w:rsidR="007C169A" w:rsidRPr="004C1E74">
        <w:rPr>
          <w:rFonts w:ascii="Arial" w:hAnsi="Arial"/>
          <w:b/>
          <w:bCs/>
          <w:sz w:val="22"/>
          <w:szCs w:val="22"/>
        </w:rPr>
        <w:t>sprzętu jednorazowego</w:t>
      </w:r>
      <w:r w:rsidRPr="00F045DA">
        <w:rPr>
          <w:rFonts w:ascii="Arial" w:hAnsi="Arial" w:cs="Arial"/>
          <w:sz w:val="22"/>
          <w:szCs w:val="22"/>
        </w:rPr>
        <w:t xml:space="preserve"> zgodnie z zapisami załącznika nr 2 do SWZ formularza asortymentowo-cenowego.</w:t>
      </w:r>
    </w:p>
    <w:p w14:paraId="5E2335CA" w14:textId="4CDC292B" w:rsidR="005E4C52" w:rsidRPr="00F045DA" w:rsidRDefault="00F045DA" w:rsidP="00F045DA">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424BEFD1" w14:textId="66D4584A" w:rsidR="00591551" w:rsidRDefault="00591551" w:rsidP="00534612">
      <w:pPr>
        <w:autoSpaceDN/>
        <w:spacing w:line="276" w:lineRule="auto"/>
        <w:ind w:firstLine="426"/>
        <w:contextualSpacing/>
        <w:jc w:val="both"/>
        <w:textAlignment w:val="auto"/>
        <w:rPr>
          <w:rFonts w:ascii="Arial" w:hAnsi="Arial"/>
          <w:sz w:val="22"/>
          <w:szCs w:val="22"/>
        </w:rPr>
      </w:pPr>
      <w:r>
        <w:rPr>
          <w:rFonts w:ascii="Arial" w:hAnsi="Arial"/>
          <w:sz w:val="22"/>
          <w:szCs w:val="22"/>
        </w:rPr>
        <w:t>33140000-0 Materiały medyczne</w:t>
      </w:r>
    </w:p>
    <w:p w14:paraId="107945A2" w14:textId="08806FC1" w:rsidR="00534612" w:rsidRPr="00534612" w:rsidRDefault="00534612" w:rsidP="00534612">
      <w:pPr>
        <w:autoSpaceDN/>
        <w:spacing w:line="276" w:lineRule="auto"/>
        <w:ind w:firstLine="426"/>
        <w:contextualSpacing/>
        <w:jc w:val="both"/>
        <w:textAlignment w:val="auto"/>
        <w:rPr>
          <w:rFonts w:ascii="Arial" w:hAnsi="Arial"/>
          <w:sz w:val="22"/>
          <w:szCs w:val="22"/>
        </w:rPr>
      </w:pPr>
      <w:r w:rsidRPr="00534612">
        <w:rPr>
          <w:rFonts w:ascii="Arial" w:hAnsi="Arial"/>
          <w:sz w:val="22"/>
          <w:szCs w:val="22"/>
        </w:rPr>
        <w:t>33100000-1 Urządzenia medyczne</w:t>
      </w:r>
    </w:p>
    <w:p w14:paraId="05302D90" w14:textId="77777777" w:rsidR="007C169A" w:rsidRDefault="007C169A" w:rsidP="007C169A">
      <w:pPr>
        <w:pStyle w:val="Akapitzlist"/>
        <w:widowControl w:val="0"/>
        <w:autoSpaceDN/>
        <w:spacing w:line="276" w:lineRule="auto"/>
        <w:ind w:left="426"/>
        <w:contextualSpacing/>
        <w:jc w:val="both"/>
        <w:textAlignment w:val="auto"/>
        <w:rPr>
          <w:rFonts w:ascii="Arial" w:hAnsi="Arial"/>
          <w:sz w:val="22"/>
          <w:szCs w:val="22"/>
        </w:rPr>
      </w:pPr>
      <w:r w:rsidRPr="007C169A">
        <w:rPr>
          <w:rFonts w:ascii="Arial" w:hAnsi="Arial"/>
          <w:sz w:val="22"/>
          <w:szCs w:val="22"/>
        </w:rPr>
        <w:t>33696800-3 Nośniki kontrastu rentgenowskiego</w:t>
      </w:r>
    </w:p>
    <w:p w14:paraId="4B183674"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0167CEAE" w14:textId="77777777" w:rsidR="00147D30" w:rsidRDefault="007F4CCD" w:rsidP="00147D30">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54627191" w14:textId="12487972" w:rsidR="00147D30" w:rsidRPr="00147D30" w:rsidRDefault="00147D30" w:rsidP="00147D30">
      <w:pPr>
        <w:pStyle w:val="Standard"/>
        <w:numPr>
          <w:ilvl w:val="0"/>
          <w:numId w:val="3"/>
        </w:numPr>
        <w:spacing w:after="0"/>
        <w:ind w:left="426" w:hanging="426"/>
        <w:jc w:val="both"/>
        <w:rPr>
          <w:rFonts w:ascii="Arial" w:hAnsi="Arial" w:cs="Arial"/>
        </w:rPr>
      </w:pPr>
      <w:r w:rsidRPr="00147D30">
        <w:rPr>
          <w:rFonts w:ascii="Arial" w:hAnsi="Arial"/>
        </w:rPr>
        <w:t xml:space="preserve">Powody niedokonania podziału zamówienia na części: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65E6353"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w:t>
      </w:r>
      <w:r>
        <w:rPr>
          <w:rFonts w:ascii="Arial" w:hAnsi="Arial" w:cs="Arial"/>
        </w:rPr>
        <w:lastRenderedPageBreak/>
        <w:t xml:space="preserve">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2C3A6FDD" w:rsidR="005D2C95" w:rsidRPr="00C800C6" w:rsidRDefault="007F4CCD" w:rsidP="00C800C6">
      <w:pPr>
        <w:pStyle w:val="Standard"/>
        <w:numPr>
          <w:ilvl w:val="0"/>
          <w:numId w:val="3"/>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rsidP="00534612">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1C4C808A" w14:textId="77777777" w:rsidR="005D2C95" w:rsidRDefault="007F4CCD" w:rsidP="00534612">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534612">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534612">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534612">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534612">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534612">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w:t>
      </w:r>
      <w:r>
        <w:rPr>
          <w:rFonts w:ascii="Arial" w:hAnsi="Arial"/>
          <w:sz w:val="22"/>
          <w:szCs w:val="22"/>
        </w:rPr>
        <w:lastRenderedPageBreak/>
        <w:t xml:space="preserve">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lastRenderedPageBreak/>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534612">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534612">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w:t>
      </w:r>
      <w:r>
        <w:rPr>
          <w:rFonts w:ascii="Arial" w:eastAsia="Arial" w:hAnsi="Arial"/>
          <w:sz w:val="22"/>
          <w:szCs w:val="22"/>
        </w:rPr>
        <w:lastRenderedPageBreak/>
        <w:t xml:space="preserve">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7D5A83D3"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w:t>
      </w:r>
      <w:r>
        <w:rPr>
          <w:rFonts w:ascii="Arial" w:hAnsi="Arial" w:cs="Arial"/>
          <w:sz w:val="22"/>
          <w:szCs w:val="22"/>
        </w:rPr>
        <w:lastRenderedPageBreak/>
        <w:t xml:space="preserve">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3B3974FE" w:rsidR="002F4325" w:rsidRPr="0052014A"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72FD2A6B" w14:textId="420BBC42"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w:t>
      </w:r>
      <w:r w:rsidRPr="00993526">
        <w:rPr>
          <w:rFonts w:ascii="Arial" w:hAnsi="Arial"/>
          <w:color w:val="000000"/>
          <w:sz w:val="22"/>
          <w:szCs w:val="22"/>
        </w:rPr>
        <w:lastRenderedPageBreak/>
        <w:t xml:space="preserve">prawnymi w tym zakresie - </w:t>
      </w:r>
      <w:r w:rsidRPr="00993526">
        <w:rPr>
          <w:rFonts w:ascii="Arial" w:eastAsia="CIDFont+F6" w:hAnsi="Arial"/>
          <w:color w:val="000000"/>
          <w:sz w:val="22"/>
          <w:szCs w:val="22"/>
          <w:lang w:eastAsia="pl-PL"/>
        </w:rPr>
        <w:t xml:space="preserve">dotyczy poz. objętych 8% stawką VAT) - </w:t>
      </w:r>
      <w:r w:rsidRPr="000E2D87">
        <w:rPr>
          <w:rFonts w:ascii="Arial" w:eastAsia="CIDFont+F6" w:hAnsi="Arial"/>
          <w:b/>
          <w:bCs/>
          <w:color w:val="000000"/>
          <w:sz w:val="22"/>
          <w:szCs w:val="22"/>
          <w:lang w:eastAsia="pl-PL"/>
        </w:rPr>
        <w:t>Wykonawca składa oświadczenie na własnym druku</w:t>
      </w:r>
      <w:bookmarkEnd w:id="1"/>
      <w:r w:rsidR="0052014A" w:rsidRPr="000E2D87">
        <w:rPr>
          <w:rFonts w:ascii="Arial" w:eastAsia="CIDFont+F6" w:hAnsi="Arial"/>
          <w:b/>
          <w:bCs/>
          <w:color w:val="000000"/>
          <w:sz w:val="22"/>
          <w:szCs w:val="22"/>
          <w:lang w:eastAsia="pl-PL"/>
        </w:rPr>
        <w:t>;</w:t>
      </w:r>
    </w:p>
    <w:p w14:paraId="7CCB431B" w14:textId="3837BB8B" w:rsidR="009D7887" w:rsidRPr="002246F2" w:rsidRDefault="009D7887" w:rsidP="002246F2">
      <w:pPr>
        <w:pStyle w:val="Akapitzlist"/>
        <w:suppressAutoHyphens w:val="0"/>
        <w:autoSpaceDE w:val="0"/>
        <w:adjustRightInd w:val="0"/>
        <w:spacing w:before="120" w:line="276" w:lineRule="auto"/>
        <w:ind w:left="425"/>
        <w:jc w:val="both"/>
        <w:textAlignment w:val="auto"/>
        <w:rPr>
          <w:rFonts w:ascii="Arial" w:eastAsia="CIDFont+F6" w:hAnsi="Arial"/>
          <w:color w:val="000000"/>
          <w:sz w:val="22"/>
          <w:szCs w:val="22"/>
          <w:lang w:eastAsia="pl-PL"/>
        </w:rPr>
      </w:pPr>
      <w:r w:rsidRPr="009D7887">
        <w:rPr>
          <w:rFonts w:ascii="Arial" w:eastAsia="CIDFont+F6" w:hAnsi="Arial"/>
          <w:color w:val="000000"/>
          <w:sz w:val="22"/>
          <w:szCs w:val="22"/>
          <w:lang w:eastAsia="pl-PL"/>
        </w:rPr>
        <w:t xml:space="preserve">- </w:t>
      </w:r>
      <w:r>
        <w:rPr>
          <w:rFonts w:ascii="Arial" w:eastAsia="CIDFont+F6" w:hAnsi="Arial"/>
          <w:color w:val="000000"/>
          <w:sz w:val="22"/>
          <w:szCs w:val="22"/>
          <w:lang w:eastAsia="pl-PL"/>
        </w:rPr>
        <w:t>D</w:t>
      </w:r>
      <w:r w:rsidRPr="009D7887">
        <w:rPr>
          <w:rFonts w:ascii="Arial" w:eastAsia="CIDFont+F6" w:hAnsi="Arial"/>
          <w:color w:val="000000"/>
          <w:sz w:val="22"/>
          <w:szCs w:val="22"/>
          <w:lang w:eastAsia="pl-PL"/>
        </w:rPr>
        <w:t>okument potwierdzający czas pracy na wężyku pompy do 24 godzin.</w:t>
      </w:r>
    </w:p>
    <w:p w14:paraId="755136D7" w14:textId="77777777" w:rsidR="005D2C95" w:rsidRDefault="007F4CCD" w:rsidP="00534612">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14E83DCE" w:rsidR="002F4325" w:rsidRPr="00FF7CD6" w:rsidRDefault="007F4CCD" w:rsidP="00FF7CD6">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D15A8B">
        <w:rPr>
          <w:rFonts w:ascii="Arial" w:eastAsia="CIDFont+F6" w:hAnsi="Arial" w:cs="Arial"/>
          <w:b/>
          <w:bCs/>
          <w:color w:val="000000"/>
          <w:sz w:val="22"/>
          <w:szCs w:val="22"/>
          <w:lang w:eastAsia="pl-PL"/>
        </w:rPr>
        <w:t>załącznik nr 1 do SWZ;</w:t>
      </w:r>
    </w:p>
    <w:p w14:paraId="4848130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D15A8B">
        <w:rPr>
          <w:rFonts w:ascii="Arial" w:eastAsia="CIDFont+F6" w:hAnsi="Arial" w:cs="Arial"/>
          <w:b/>
          <w:bCs/>
          <w:color w:val="000000"/>
          <w:sz w:val="22"/>
          <w:szCs w:val="22"/>
          <w:lang w:eastAsia="pl-PL"/>
        </w:rPr>
        <w:t>załącznik nr 2 do SWZ</w:t>
      </w:r>
      <w:r>
        <w:rPr>
          <w:rFonts w:ascii="Arial" w:eastAsia="CIDFont+F6" w:hAnsi="Arial" w:cs="Arial"/>
          <w:color w:val="000000"/>
          <w:sz w:val="22"/>
          <w:szCs w:val="22"/>
          <w:lang w:eastAsia="pl-PL"/>
        </w:rPr>
        <w:t>;</w:t>
      </w:r>
    </w:p>
    <w:p w14:paraId="100F2F51"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D15A8B">
        <w:rPr>
          <w:rFonts w:ascii="Arial" w:eastAsia="CIDFont+F6" w:hAnsi="Arial" w:cs="Arial"/>
          <w:b/>
          <w:bCs/>
          <w:color w:val="000000"/>
          <w:sz w:val="22"/>
          <w:szCs w:val="22"/>
          <w:lang w:eastAsia="pl-PL"/>
        </w:rPr>
        <w:t>załącznik nr 3 do SWZ</w:t>
      </w:r>
      <w:r>
        <w:rPr>
          <w:rFonts w:ascii="Arial" w:eastAsia="CIDFont+F6" w:hAnsi="Arial" w:cs="Arial"/>
          <w:color w:val="000000"/>
          <w:sz w:val="22"/>
          <w:szCs w:val="22"/>
          <w:lang w:eastAsia="pl-PL"/>
        </w:rPr>
        <w:t>;</w:t>
      </w:r>
    </w:p>
    <w:p w14:paraId="15CC3A8E" w14:textId="7FEAEEE4" w:rsidR="00E12212"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w:t>
      </w:r>
      <w:r w:rsidRPr="00D15A8B">
        <w:rPr>
          <w:rFonts w:ascii="Arial" w:eastAsia="CIDFont+F6" w:hAnsi="Arial" w:cs="Arial"/>
          <w:b/>
          <w:bCs/>
          <w:color w:val="000000"/>
          <w:sz w:val="22"/>
          <w:szCs w:val="22"/>
          <w:lang w:eastAsia="pl-PL"/>
        </w:rPr>
        <w:t xml:space="preserve"> załącznik nr 5</w:t>
      </w:r>
      <w:r w:rsidR="00D15A8B" w:rsidRPr="00D15A8B">
        <w:rPr>
          <w:rFonts w:ascii="Arial" w:eastAsia="CIDFont+F6" w:hAnsi="Arial" w:cs="Arial"/>
          <w:b/>
          <w:bCs/>
          <w:color w:val="000000"/>
          <w:sz w:val="22"/>
          <w:szCs w:val="22"/>
          <w:lang w:eastAsia="pl-PL"/>
        </w:rPr>
        <w:t xml:space="preserve"> do SWZ</w:t>
      </w:r>
      <w:r>
        <w:rPr>
          <w:rFonts w:ascii="Arial" w:eastAsia="CIDFont+F6" w:hAnsi="Arial" w:cs="Arial"/>
          <w:color w:val="000000"/>
          <w:sz w:val="22"/>
          <w:szCs w:val="22"/>
          <w:lang w:eastAsia="pl-PL"/>
        </w:rPr>
        <w:t>;</w:t>
      </w:r>
    </w:p>
    <w:p w14:paraId="6B7045D9" w14:textId="3B3470C0" w:rsidR="00E12212" w:rsidRPr="009D7887" w:rsidRDefault="00E12212"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 </w:t>
      </w:r>
      <w:r w:rsidRPr="00D15A8B">
        <w:rPr>
          <w:rFonts w:ascii="Arial" w:eastAsia="CIDFont+F6" w:hAnsi="Arial"/>
          <w:b/>
          <w:bCs/>
          <w:color w:val="000000"/>
          <w:sz w:val="22"/>
          <w:szCs w:val="22"/>
          <w:lang w:eastAsia="pl-PL"/>
        </w:rPr>
        <w:t>Wykonawca składa oświadczenie na własnym druku</w:t>
      </w:r>
      <w:r w:rsidR="0052014A">
        <w:rPr>
          <w:rFonts w:ascii="Arial" w:eastAsia="CIDFont+F6" w:hAnsi="Arial"/>
          <w:color w:val="000000"/>
          <w:sz w:val="22"/>
          <w:szCs w:val="22"/>
          <w:lang w:eastAsia="pl-PL"/>
        </w:rPr>
        <w:t>;</w:t>
      </w:r>
    </w:p>
    <w:p w14:paraId="3ADE0107" w14:textId="6F1358DB" w:rsidR="009D7887" w:rsidRPr="00E12212" w:rsidRDefault="009D7887"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D7887">
        <w:rPr>
          <w:rFonts w:ascii="Arial" w:eastAsia="CIDFont+F6" w:hAnsi="Arial"/>
          <w:color w:val="000000"/>
          <w:sz w:val="22"/>
          <w:szCs w:val="22"/>
          <w:lang w:eastAsia="pl-PL"/>
        </w:rPr>
        <w:t>Dokument potwierdzający czas pracy na wężyku pompy do 24 godzin.</w:t>
      </w:r>
    </w:p>
    <w:p w14:paraId="3697A79A" w14:textId="46068FC6" w:rsidR="002F4325" w:rsidRPr="0052014A"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534612">
      <w:pPr>
        <w:widowControl/>
        <w:numPr>
          <w:ilvl w:val="0"/>
          <w:numId w:val="35"/>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11AF4820" w:rsidR="00EA0C06" w:rsidRPr="00EA0C06" w:rsidRDefault="0052014A"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00EA0C06" w:rsidRPr="00EA0C06">
        <w:rPr>
          <w:rFonts w:ascii="Arial" w:eastAsia="CIDFont+F6" w:hAnsi="Arial"/>
          <w:kern w:val="0"/>
          <w:sz w:val="22"/>
          <w:szCs w:val="22"/>
          <w:lang w:eastAsia="pl-PL" w:bidi="ar-SA"/>
        </w:rPr>
        <w:t xml:space="preserve"> tel. 32 67 40 361, </w:t>
      </w:r>
    </w:p>
    <w:p w14:paraId="68B1FC44" w14:textId="18790440"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0E2D87" w:rsidRPr="000E2D87">
          <w:rPr>
            <w:rStyle w:val="Hipercze"/>
            <w:rFonts w:ascii="Arial" w:hAnsi="Arial"/>
            <w:sz w:val="22"/>
            <w:szCs w:val="22"/>
          </w:rPr>
          <w:t xml:space="preserve">https://platformazakupowa.pl/transakcja/977356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w:t>
      </w:r>
      <w:r w:rsidRPr="00484D5A">
        <w:rPr>
          <w:rFonts w:ascii="Arial" w:eastAsia="CIDFont+F6" w:hAnsi="Arial"/>
          <w:kern w:val="0"/>
          <w:sz w:val="22"/>
          <w:szCs w:val="22"/>
          <w:lang w:eastAsia="pl-PL" w:bidi="pl-PL"/>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6DB0F8D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2014A">
        <w:rPr>
          <w:rFonts w:ascii="Arial" w:eastAsia="CIDFont+F6" w:hAnsi="Arial"/>
          <w:b/>
          <w:bCs/>
          <w:kern w:val="0"/>
          <w:sz w:val="22"/>
          <w:szCs w:val="22"/>
          <w:lang w:eastAsia="pl-PL" w:bidi="pl-PL"/>
        </w:rPr>
        <w:t>48/2</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253B5D1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00BF535C"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3946CE15" w:rsidR="005D2C95" w:rsidRDefault="00EA0C06" w:rsidP="0052014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70A4EAFA"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0E2D87">
        <w:rPr>
          <w:rFonts w:ascii="Arial" w:eastAsia="CIDFont+F6" w:hAnsi="Arial" w:cs="Arial"/>
          <w:sz w:val="22"/>
          <w:szCs w:val="22"/>
          <w:lang w:eastAsia="pl-PL"/>
        </w:rPr>
        <w:t>dnia</w:t>
      </w:r>
      <w:r w:rsidR="007F2A64" w:rsidRPr="000E2D87">
        <w:rPr>
          <w:rFonts w:ascii="Arial" w:eastAsia="CIDFont+F6" w:hAnsi="Arial" w:cs="Arial"/>
          <w:sz w:val="22"/>
          <w:szCs w:val="22"/>
          <w:lang w:eastAsia="pl-PL"/>
        </w:rPr>
        <w:t xml:space="preserve"> </w:t>
      </w:r>
      <w:r w:rsidR="0031091E">
        <w:rPr>
          <w:rFonts w:ascii="Arial" w:eastAsia="CIDFont+F6" w:hAnsi="Arial" w:cs="Arial"/>
          <w:b/>
          <w:bCs/>
          <w:sz w:val="22"/>
          <w:szCs w:val="22"/>
          <w:lang w:eastAsia="pl-PL"/>
        </w:rPr>
        <w:t>23</w:t>
      </w:r>
      <w:r w:rsidR="000E2D87" w:rsidRPr="000E2D87">
        <w:rPr>
          <w:rFonts w:ascii="Arial" w:eastAsia="CIDFont+F6" w:hAnsi="Arial" w:cs="Arial"/>
          <w:b/>
          <w:bCs/>
          <w:sz w:val="22"/>
          <w:szCs w:val="22"/>
          <w:lang w:eastAsia="pl-PL"/>
        </w:rPr>
        <w:t>.12</w:t>
      </w:r>
      <w:r w:rsidR="001E4960" w:rsidRPr="000E2D87">
        <w:rPr>
          <w:rFonts w:ascii="Arial" w:eastAsia="CIDFont+F6" w:hAnsi="Arial" w:cs="Arial"/>
          <w:b/>
          <w:bCs/>
          <w:sz w:val="22"/>
          <w:szCs w:val="22"/>
          <w:lang w:eastAsia="pl-PL"/>
        </w:rPr>
        <w:t>.202</w:t>
      </w:r>
      <w:r w:rsidR="007F2A64" w:rsidRPr="000E2D87">
        <w:rPr>
          <w:rFonts w:ascii="Arial" w:eastAsia="CIDFont+F6" w:hAnsi="Arial" w:cs="Arial"/>
          <w:b/>
          <w:bCs/>
          <w:sz w:val="22"/>
          <w:szCs w:val="22"/>
          <w:lang w:eastAsia="pl-PL"/>
        </w:rPr>
        <w:t>4</w:t>
      </w:r>
      <w:r w:rsidRPr="000E2D87">
        <w:rPr>
          <w:rFonts w:ascii="Arial" w:eastAsia="CIDFont+F6" w:hAnsi="Arial" w:cs="Arial"/>
          <w:b/>
          <w:bCs/>
          <w:sz w:val="22"/>
          <w:szCs w:val="22"/>
          <w:lang w:eastAsia="pl-PL"/>
        </w:rPr>
        <w:t>r.</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lastRenderedPageBreak/>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3461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103BC94B" w14:textId="77777777" w:rsidR="000E2D87" w:rsidRDefault="00EA0C06" w:rsidP="00EA0C06">
      <w:pPr>
        <w:tabs>
          <w:tab w:val="left" w:pos="284"/>
        </w:tabs>
        <w:suppressAutoHyphens w:val="0"/>
        <w:autoSpaceDE w:val="0"/>
        <w:adjustRightInd w:val="0"/>
        <w:spacing w:line="276" w:lineRule="auto"/>
        <w:ind w:left="426" w:hanging="426"/>
        <w:jc w:val="both"/>
        <w:textAlignment w:val="auto"/>
        <w:rPr>
          <w:rFonts w:hint="eastAsia"/>
        </w:rPr>
      </w:pPr>
      <w:r w:rsidRPr="00A82D0C">
        <w:rPr>
          <w:rFonts w:ascii="Arial" w:hAnsi="Arial"/>
        </w:rPr>
        <w:lastRenderedPageBreak/>
        <w:tab/>
      </w:r>
      <w:r w:rsidRPr="00A82D0C">
        <w:rPr>
          <w:rFonts w:ascii="Arial" w:hAnsi="Arial"/>
        </w:rPr>
        <w:tab/>
      </w:r>
      <w:hyperlink r:id="rId14" w:history="1">
        <w:r w:rsidR="000E2D87" w:rsidRPr="000E2D87">
          <w:rPr>
            <w:rStyle w:val="Hipercze"/>
          </w:rPr>
          <w:t xml:space="preserve">https://platformazakupowa.pl/transakcja/977356 </w:t>
        </w:r>
      </w:hyperlink>
    </w:p>
    <w:p w14:paraId="1A1915D1" w14:textId="5686E63E"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6C5CD936" w:rsidR="00F3464F" w:rsidRPr="00F3464F" w:rsidRDefault="00EA0C06" w:rsidP="0052014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0824153C" w:rsidR="005D2C95" w:rsidRPr="000E2D87"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0E2D87">
        <w:rPr>
          <w:rFonts w:ascii="Arial" w:eastAsia="Arial" w:hAnsi="Arial"/>
          <w:color w:val="000000" w:themeColor="text1"/>
          <w:kern w:val="0"/>
          <w:sz w:val="22"/>
          <w:szCs w:val="22"/>
          <w:lang w:eastAsia="pl-PL" w:bidi="ar-SA"/>
        </w:rPr>
        <w:t>:</w:t>
      </w:r>
      <w:r w:rsidR="00447ED5" w:rsidRPr="000E2D87">
        <w:rPr>
          <w:rFonts w:ascii="Arial" w:eastAsia="Arial" w:hAnsi="Arial"/>
          <w:color w:val="000000" w:themeColor="text1"/>
          <w:kern w:val="0"/>
          <w:sz w:val="22"/>
          <w:szCs w:val="22"/>
          <w:lang w:eastAsia="pl-PL" w:bidi="ar-SA"/>
        </w:rPr>
        <w:t xml:space="preserve"> </w:t>
      </w:r>
      <w:r w:rsidR="0031091E">
        <w:rPr>
          <w:rFonts w:ascii="Arial" w:eastAsia="Arial" w:hAnsi="Arial"/>
          <w:b/>
          <w:kern w:val="0"/>
          <w:sz w:val="22"/>
          <w:szCs w:val="22"/>
          <w:lang w:eastAsia="pl-PL" w:bidi="ar-SA"/>
        </w:rPr>
        <w:t>25</w:t>
      </w:r>
      <w:r w:rsidR="000E2D87" w:rsidRPr="000E2D87">
        <w:rPr>
          <w:rFonts w:ascii="Arial" w:eastAsia="Arial" w:hAnsi="Arial"/>
          <w:b/>
          <w:kern w:val="0"/>
          <w:sz w:val="22"/>
          <w:szCs w:val="22"/>
          <w:lang w:eastAsia="pl-PL" w:bidi="ar-SA"/>
        </w:rPr>
        <w:t>.09</w:t>
      </w:r>
      <w:r w:rsidR="00447ED5" w:rsidRPr="000E2D87">
        <w:rPr>
          <w:rFonts w:ascii="Arial" w:eastAsia="Arial" w:hAnsi="Arial"/>
          <w:b/>
          <w:kern w:val="0"/>
          <w:sz w:val="22"/>
          <w:szCs w:val="22"/>
          <w:lang w:eastAsia="pl-PL" w:bidi="ar-SA"/>
        </w:rPr>
        <w:t>.</w:t>
      </w:r>
      <w:r w:rsidRPr="000E2D87">
        <w:rPr>
          <w:rFonts w:ascii="Arial" w:eastAsia="Arial" w:hAnsi="Arial"/>
          <w:b/>
          <w:kern w:val="0"/>
          <w:sz w:val="22"/>
          <w:szCs w:val="22"/>
          <w:lang w:eastAsia="pl-PL" w:bidi="ar-SA"/>
        </w:rPr>
        <w:t>202</w:t>
      </w:r>
      <w:r w:rsidR="007F2A64" w:rsidRPr="000E2D87">
        <w:rPr>
          <w:rFonts w:ascii="Arial" w:eastAsia="Arial" w:hAnsi="Arial"/>
          <w:b/>
          <w:kern w:val="0"/>
          <w:sz w:val="22"/>
          <w:szCs w:val="22"/>
          <w:lang w:eastAsia="pl-PL" w:bidi="ar-SA"/>
        </w:rPr>
        <w:t>4</w:t>
      </w:r>
      <w:r w:rsidRPr="000E2D87">
        <w:rPr>
          <w:rFonts w:ascii="Arial" w:eastAsia="Arial" w:hAnsi="Arial"/>
          <w:b/>
          <w:kern w:val="0"/>
          <w:sz w:val="22"/>
          <w:szCs w:val="22"/>
          <w:lang w:eastAsia="pl-PL" w:bidi="ar-SA"/>
        </w:rPr>
        <w:t xml:space="preserve"> r. do godziny 0</w:t>
      </w:r>
      <w:r w:rsidR="007F2A64" w:rsidRPr="000E2D87">
        <w:rPr>
          <w:rFonts w:ascii="Arial" w:eastAsia="Arial" w:hAnsi="Arial"/>
          <w:b/>
          <w:kern w:val="0"/>
          <w:sz w:val="22"/>
          <w:szCs w:val="22"/>
          <w:lang w:eastAsia="pl-PL" w:bidi="ar-SA"/>
        </w:rPr>
        <w:t>9</w:t>
      </w:r>
      <w:r w:rsidRPr="000E2D87">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0E2D87" w14:paraId="458F7E7A" w14:textId="77777777">
        <w:trPr>
          <w:trHeight w:hRule="exact" w:val="510"/>
        </w:trPr>
        <w:tc>
          <w:tcPr>
            <w:tcW w:w="10485" w:type="dxa"/>
            <w:shd w:val="pct10" w:color="auto" w:fill="auto"/>
            <w:vAlign w:val="center"/>
          </w:tcPr>
          <w:p w14:paraId="04AEEB8F" w14:textId="77777777" w:rsidR="005D2C95" w:rsidRPr="000E2D87" w:rsidRDefault="007F4CCD">
            <w:pPr>
              <w:spacing w:line="276" w:lineRule="auto"/>
              <w:rPr>
                <w:rFonts w:ascii="Arial" w:eastAsia="Times New Roman" w:hAnsi="Arial"/>
                <w:sz w:val="22"/>
                <w:szCs w:val="22"/>
              </w:rPr>
            </w:pPr>
            <w:r w:rsidRPr="000E2D87">
              <w:rPr>
                <w:rFonts w:ascii="Arial" w:eastAsia="Times New Roman" w:hAnsi="Arial"/>
                <w:b/>
                <w:sz w:val="22"/>
                <w:szCs w:val="22"/>
              </w:rPr>
              <w:t>XIII. MIEJSCE I TERMIN OTWARCIA OFERT</w:t>
            </w:r>
          </w:p>
        </w:tc>
      </w:tr>
    </w:tbl>
    <w:p w14:paraId="09D4F8FD" w14:textId="301F4A8D"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0E2D87">
        <w:rPr>
          <w:rFonts w:ascii="Arial" w:eastAsia="Arial" w:hAnsi="Arial"/>
          <w:kern w:val="0"/>
          <w:sz w:val="22"/>
          <w:szCs w:val="20"/>
          <w:lang w:eastAsia="pl-PL"/>
        </w:rPr>
        <w:t xml:space="preserve">Otwarcie ofert odbędzie się najpóźniej w dniu </w:t>
      </w:r>
      <w:r w:rsidR="0031091E">
        <w:rPr>
          <w:rFonts w:ascii="Arial" w:eastAsia="Arial" w:hAnsi="Arial"/>
          <w:b/>
          <w:kern w:val="0"/>
          <w:sz w:val="22"/>
          <w:szCs w:val="20"/>
          <w:lang w:eastAsia="pl-PL"/>
        </w:rPr>
        <w:t>25</w:t>
      </w:r>
      <w:r w:rsidR="000E2D87" w:rsidRPr="000E2D87">
        <w:rPr>
          <w:rFonts w:ascii="Arial" w:eastAsia="Arial" w:hAnsi="Arial"/>
          <w:b/>
          <w:kern w:val="0"/>
          <w:sz w:val="22"/>
          <w:szCs w:val="20"/>
          <w:lang w:eastAsia="pl-PL"/>
        </w:rPr>
        <w:t>.09</w:t>
      </w:r>
      <w:r w:rsidRPr="000E2D87">
        <w:rPr>
          <w:rFonts w:ascii="Arial" w:eastAsia="Arial" w:hAnsi="Arial"/>
          <w:b/>
          <w:kern w:val="0"/>
          <w:sz w:val="22"/>
          <w:szCs w:val="20"/>
          <w:lang w:eastAsia="pl-PL"/>
        </w:rPr>
        <w:t>.2024r.</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7B1DC4E6"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34DD5E69" w14:textId="77777777" w:rsidR="0052014A" w:rsidRDefault="0052014A" w:rsidP="0052014A">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Pr>
          <w:rFonts w:ascii="Arial" w:eastAsia="Times New Roman" w:hAnsi="Arial"/>
          <w:b/>
          <w:sz w:val="22"/>
          <w:szCs w:val="22"/>
        </w:rPr>
        <w:t>6</w:t>
      </w:r>
      <w:r w:rsidRPr="006145C4">
        <w:rPr>
          <w:rFonts w:ascii="Arial" w:eastAsia="Times New Roman" w:hAnsi="Arial"/>
          <w:b/>
          <w:sz w:val="22"/>
          <w:szCs w:val="22"/>
          <w:lang w:val="zh-CN"/>
        </w:rPr>
        <w:t>0%</w:t>
      </w:r>
    </w:p>
    <w:p w14:paraId="2B7BC50D" w14:textId="77777777" w:rsidR="0052014A" w:rsidRDefault="0052014A" w:rsidP="0052014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B – Termin dostawy – 20%</w:t>
      </w:r>
    </w:p>
    <w:p w14:paraId="46435492" w14:textId="77777777" w:rsidR="0052014A" w:rsidRPr="004F49D5" w:rsidRDefault="0052014A" w:rsidP="0052014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t>
      </w:r>
      <w:bookmarkStart w:id="2" w:name="_Hlk176350550"/>
      <w:r>
        <w:rPr>
          <w:rFonts w:ascii="Arial" w:eastAsiaTheme="minorEastAsia" w:hAnsi="Arial"/>
          <w:b/>
          <w:sz w:val="22"/>
          <w:szCs w:val="22"/>
        </w:rPr>
        <w:t xml:space="preserve">wymiany wadliwego produktu </w:t>
      </w:r>
      <w:bookmarkEnd w:id="2"/>
      <w:r>
        <w:rPr>
          <w:rFonts w:ascii="Arial" w:eastAsiaTheme="minorEastAsia" w:hAnsi="Arial"/>
          <w:b/>
          <w:sz w:val="22"/>
          <w:szCs w:val="22"/>
        </w:rPr>
        <w:t>– 20%</w:t>
      </w:r>
    </w:p>
    <w:p w14:paraId="20103E81" w14:textId="77777777" w:rsidR="0052014A" w:rsidRDefault="0052014A" w:rsidP="0052014A">
      <w:pPr>
        <w:autoSpaceDE w:val="0"/>
        <w:adjustRightInd w:val="0"/>
        <w:spacing w:after="120" w:line="276" w:lineRule="auto"/>
        <w:ind w:left="284"/>
        <w:jc w:val="both"/>
        <w:rPr>
          <w:rFonts w:ascii="Arial" w:eastAsia="Times New Roman" w:hAnsi="Arial"/>
          <w:b/>
          <w:sz w:val="22"/>
          <w:szCs w:val="22"/>
        </w:rPr>
      </w:pPr>
    </w:p>
    <w:p w14:paraId="2A3AB00F" w14:textId="77777777" w:rsidR="0052014A" w:rsidRPr="006145C4" w:rsidRDefault="0052014A" w:rsidP="00534612">
      <w:pPr>
        <w:pStyle w:val="Akapitzlist"/>
        <w:numPr>
          <w:ilvl w:val="0"/>
          <w:numId w:val="38"/>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2880F715" w14:textId="77777777" w:rsidR="0052014A" w:rsidRDefault="0052014A" w:rsidP="0052014A">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7693ACFA" w14:textId="77777777" w:rsidR="0052014A" w:rsidRDefault="0052014A" w:rsidP="0052014A">
      <w:pPr>
        <w:widowControl/>
        <w:suppressAutoHyphens w:val="0"/>
        <w:autoSpaceDN/>
        <w:spacing w:line="276" w:lineRule="auto"/>
        <w:rPr>
          <w:rFonts w:ascii="Arial" w:eastAsia="Times New Roman" w:hAnsi="Arial"/>
          <w:kern w:val="0"/>
          <w:sz w:val="22"/>
          <w:szCs w:val="22"/>
          <w:lang w:eastAsia="pl-PL" w:bidi="ar-SA"/>
        </w:rPr>
      </w:pPr>
    </w:p>
    <w:p w14:paraId="1A5FF68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p>
    <w:p w14:paraId="6E8218E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bookmarkStart w:id="3" w:name="_Hlk127536172"/>
      <w:r>
        <w:rPr>
          <w:rFonts w:ascii="Arial" w:eastAsia="Arial" w:hAnsi="Arial"/>
          <w:kern w:val="0"/>
          <w:sz w:val="22"/>
          <w:szCs w:val="22"/>
          <w:lang w:eastAsia="pl-PL" w:bidi="ar-SA"/>
        </w:rPr>
        <w:t>Najniższa zaoferowana cena brutto</w:t>
      </w:r>
    </w:p>
    <w:p w14:paraId="1002FB31" w14:textId="77777777" w:rsidR="0052014A" w:rsidRDefault="0052014A" w:rsidP="0052014A">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5D6B382D" w14:textId="77777777" w:rsidR="0052014A" w:rsidRDefault="0052014A" w:rsidP="0052014A">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bookmarkEnd w:id="3"/>
    <w:p w14:paraId="75570B15" w14:textId="77777777" w:rsidR="0052014A" w:rsidRDefault="0052014A" w:rsidP="0052014A">
      <w:pPr>
        <w:spacing w:line="276" w:lineRule="auto"/>
        <w:jc w:val="both"/>
        <w:rPr>
          <w:rFonts w:ascii="Arial" w:eastAsia="Times New Roman" w:hAnsi="Arial"/>
          <w:sz w:val="22"/>
          <w:szCs w:val="22"/>
        </w:rPr>
      </w:pPr>
    </w:p>
    <w:p w14:paraId="275124AF" w14:textId="77777777" w:rsidR="0052014A" w:rsidRDefault="0052014A" w:rsidP="00534612">
      <w:pPr>
        <w:pStyle w:val="Akapitzlist"/>
        <w:numPr>
          <w:ilvl w:val="0"/>
          <w:numId w:val="38"/>
        </w:numPr>
        <w:spacing w:line="276" w:lineRule="auto"/>
        <w:jc w:val="both"/>
        <w:rPr>
          <w:rFonts w:ascii="Arial" w:hAnsi="Arial"/>
          <w:sz w:val="22"/>
          <w:szCs w:val="22"/>
        </w:rPr>
      </w:pPr>
      <w:r w:rsidRPr="00F44975">
        <w:rPr>
          <w:rFonts w:ascii="Arial" w:hAnsi="Arial"/>
          <w:b/>
          <w:sz w:val="22"/>
          <w:szCs w:val="22"/>
        </w:rPr>
        <w:t xml:space="preserve">Kryterium „Termin dostawy” </w:t>
      </w:r>
      <w:r w:rsidRPr="00F44975">
        <w:rPr>
          <w:rFonts w:ascii="Arial" w:hAnsi="Arial"/>
          <w:sz w:val="22"/>
          <w:szCs w:val="22"/>
        </w:rPr>
        <w:t>będzie liczone w następujący sposób: najwyższą liczbę punktów za to kryterium (</w:t>
      </w:r>
      <w:r>
        <w:rPr>
          <w:rFonts w:ascii="Arial" w:hAnsi="Arial"/>
          <w:sz w:val="22"/>
          <w:szCs w:val="22"/>
        </w:rPr>
        <w:t>2</w:t>
      </w:r>
      <w:r w:rsidRPr="00F44975">
        <w:rPr>
          <w:rFonts w:ascii="Arial" w:hAnsi="Arial"/>
          <w:sz w:val="22"/>
          <w:szCs w:val="22"/>
        </w:rPr>
        <w:t>0 pkt) otrzyma oferta o najkrótszym terminie dostawy (wykazanym w Formularzu ofertowym). Pozostali Wykonawcy odpowiednio mniej:</w:t>
      </w:r>
    </w:p>
    <w:p w14:paraId="6EF91162" w14:textId="77777777" w:rsidR="0052014A" w:rsidRDefault="0052014A" w:rsidP="0052014A">
      <w:pPr>
        <w:pStyle w:val="Akapitzlist"/>
        <w:spacing w:line="276" w:lineRule="auto"/>
        <w:jc w:val="both"/>
        <w:rPr>
          <w:rFonts w:ascii="Arial" w:hAnsi="Arial"/>
          <w:sz w:val="22"/>
          <w:szCs w:val="22"/>
        </w:rPr>
      </w:pPr>
    </w:p>
    <w:p w14:paraId="641CC533" w14:textId="77777777" w:rsidR="0052014A" w:rsidRDefault="0052014A" w:rsidP="0052014A">
      <w:pPr>
        <w:pStyle w:val="Akapitzlist"/>
        <w:spacing w:line="276" w:lineRule="auto"/>
        <w:ind w:left="2124"/>
        <w:jc w:val="both"/>
        <w:rPr>
          <w:rFonts w:ascii="Arial" w:hAnsi="Arial"/>
          <w:sz w:val="22"/>
          <w:szCs w:val="22"/>
        </w:rPr>
      </w:pPr>
      <w:r>
        <w:rPr>
          <w:rFonts w:ascii="Arial" w:hAnsi="Arial"/>
          <w:sz w:val="22"/>
          <w:szCs w:val="22"/>
        </w:rPr>
        <w:t>3 dni robocze – 0 pkt</w:t>
      </w:r>
    </w:p>
    <w:p w14:paraId="3EC6253F" w14:textId="77777777" w:rsidR="0052014A" w:rsidRDefault="0052014A" w:rsidP="0052014A">
      <w:pPr>
        <w:pStyle w:val="Akapitzlist"/>
        <w:spacing w:line="276" w:lineRule="auto"/>
        <w:ind w:left="2124"/>
        <w:jc w:val="both"/>
        <w:rPr>
          <w:rFonts w:ascii="Arial" w:hAnsi="Arial"/>
          <w:sz w:val="22"/>
          <w:szCs w:val="22"/>
        </w:rPr>
      </w:pPr>
      <w:r>
        <w:rPr>
          <w:rFonts w:ascii="Arial" w:hAnsi="Arial"/>
          <w:sz w:val="22"/>
          <w:szCs w:val="22"/>
        </w:rPr>
        <w:t>2 dni robocze – 10 pkt</w:t>
      </w:r>
    </w:p>
    <w:p w14:paraId="528FB50E" w14:textId="77777777" w:rsidR="0052014A" w:rsidRPr="00F44975" w:rsidRDefault="0052014A" w:rsidP="0052014A">
      <w:pPr>
        <w:pStyle w:val="Akapitzlist"/>
        <w:spacing w:line="276" w:lineRule="auto"/>
        <w:ind w:left="2124"/>
        <w:jc w:val="both"/>
        <w:rPr>
          <w:rFonts w:ascii="Arial" w:hAnsi="Arial"/>
          <w:sz w:val="22"/>
          <w:szCs w:val="22"/>
        </w:rPr>
      </w:pPr>
      <w:r>
        <w:rPr>
          <w:rFonts w:ascii="Arial" w:hAnsi="Arial"/>
          <w:sz w:val="22"/>
          <w:szCs w:val="22"/>
        </w:rPr>
        <w:t>1 dzień roboczy – 20 pkt</w:t>
      </w:r>
    </w:p>
    <w:p w14:paraId="6E21CBC0" w14:textId="77777777" w:rsidR="0052014A" w:rsidRPr="00F44975" w:rsidRDefault="0052014A" w:rsidP="0052014A">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219273A5" w14:textId="77777777" w:rsidR="0052014A" w:rsidRDefault="0052014A" w:rsidP="0052014A">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0A6B5431" w14:textId="77777777" w:rsidR="0052014A" w:rsidRPr="00F44975" w:rsidRDefault="0052014A" w:rsidP="0052014A">
      <w:pPr>
        <w:spacing w:line="276" w:lineRule="auto"/>
        <w:ind w:left="708"/>
        <w:jc w:val="both"/>
        <w:rPr>
          <w:rFonts w:ascii="Arial" w:eastAsia="Times New Roman" w:hAnsi="Arial"/>
          <w:sz w:val="22"/>
          <w:szCs w:val="22"/>
        </w:rPr>
      </w:pPr>
    </w:p>
    <w:p w14:paraId="528987B5" w14:textId="77777777" w:rsidR="0052014A" w:rsidRDefault="0052014A" w:rsidP="00534612">
      <w:pPr>
        <w:pStyle w:val="Akapitzlist"/>
        <w:numPr>
          <w:ilvl w:val="0"/>
          <w:numId w:val="38"/>
        </w:numPr>
        <w:spacing w:line="276" w:lineRule="auto"/>
        <w:jc w:val="both"/>
        <w:rPr>
          <w:rFonts w:ascii="Arial" w:hAnsi="Arial"/>
          <w:sz w:val="22"/>
          <w:szCs w:val="22"/>
        </w:rPr>
      </w:pPr>
      <w:r w:rsidRPr="00F44975">
        <w:rPr>
          <w:rFonts w:ascii="Arial" w:hAnsi="Arial"/>
          <w:b/>
          <w:sz w:val="22"/>
          <w:szCs w:val="22"/>
        </w:rPr>
        <w:t xml:space="preserve">Kryterium „Termin wymiany </w:t>
      </w:r>
      <w:r>
        <w:rPr>
          <w:rFonts w:ascii="Arial" w:hAnsi="Arial"/>
          <w:b/>
          <w:sz w:val="22"/>
          <w:szCs w:val="22"/>
        </w:rPr>
        <w:t>wadliwego produktu</w:t>
      </w:r>
      <w:r w:rsidRPr="00F44975">
        <w:rPr>
          <w:rFonts w:ascii="Arial" w:hAnsi="Arial"/>
          <w:b/>
          <w:sz w:val="22"/>
          <w:szCs w:val="22"/>
        </w:rPr>
        <w:t>”</w:t>
      </w:r>
      <w:r w:rsidRPr="00F44975">
        <w:rPr>
          <w:rFonts w:ascii="Arial" w:hAnsi="Arial"/>
          <w:sz w:val="22"/>
          <w:szCs w:val="22"/>
        </w:rPr>
        <w:t xml:space="preserve"> będzie liczone w następujący sposób: najwyższą liczbę punktów za to kryterium (</w:t>
      </w:r>
      <w:r>
        <w:rPr>
          <w:rFonts w:ascii="Arial" w:hAnsi="Arial"/>
          <w:sz w:val="22"/>
          <w:szCs w:val="22"/>
        </w:rPr>
        <w:t>2</w:t>
      </w:r>
      <w:r w:rsidRPr="00F44975">
        <w:rPr>
          <w:rFonts w:ascii="Arial" w:hAnsi="Arial"/>
          <w:sz w:val="22"/>
          <w:szCs w:val="22"/>
        </w:rPr>
        <w:t>0 pkt) otrzyma oferta o najkrótszym terminie wymiany (wykazanym w Formularzu ofertowym). Pozostali Wykonawcy odpowiednio mniej:</w:t>
      </w:r>
    </w:p>
    <w:p w14:paraId="01281588" w14:textId="77777777" w:rsidR="0052014A" w:rsidRDefault="0052014A" w:rsidP="0052014A">
      <w:pPr>
        <w:pStyle w:val="Akapitzlist"/>
        <w:spacing w:line="276" w:lineRule="auto"/>
        <w:ind w:left="2124"/>
        <w:jc w:val="both"/>
        <w:rPr>
          <w:rFonts w:ascii="Arial" w:hAnsi="Arial"/>
          <w:sz w:val="22"/>
          <w:szCs w:val="22"/>
        </w:rPr>
      </w:pPr>
    </w:p>
    <w:p w14:paraId="79CEAFA9" w14:textId="77777777" w:rsidR="0052014A" w:rsidRDefault="0052014A" w:rsidP="0052014A">
      <w:pPr>
        <w:pStyle w:val="Akapitzlist"/>
        <w:spacing w:line="276" w:lineRule="auto"/>
        <w:ind w:left="2124"/>
        <w:jc w:val="both"/>
        <w:rPr>
          <w:rFonts w:ascii="Arial" w:hAnsi="Arial"/>
          <w:sz w:val="22"/>
          <w:szCs w:val="22"/>
        </w:rPr>
      </w:pPr>
      <w:r>
        <w:rPr>
          <w:rFonts w:ascii="Arial" w:hAnsi="Arial"/>
          <w:sz w:val="22"/>
          <w:szCs w:val="22"/>
        </w:rPr>
        <w:t>3 dni robocze – 0 pkt</w:t>
      </w:r>
    </w:p>
    <w:p w14:paraId="0935DB83" w14:textId="77777777" w:rsidR="0052014A" w:rsidRDefault="0052014A" w:rsidP="0052014A">
      <w:pPr>
        <w:pStyle w:val="Akapitzlist"/>
        <w:spacing w:line="276" w:lineRule="auto"/>
        <w:ind w:left="2124"/>
        <w:jc w:val="both"/>
        <w:rPr>
          <w:rFonts w:ascii="Arial" w:hAnsi="Arial"/>
          <w:sz w:val="22"/>
          <w:szCs w:val="22"/>
        </w:rPr>
      </w:pPr>
      <w:r>
        <w:rPr>
          <w:rFonts w:ascii="Arial" w:hAnsi="Arial"/>
          <w:sz w:val="22"/>
          <w:szCs w:val="22"/>
        </w:rPr>
        <w:t>2 dni robocze – 10 pkt</w:t>
      </w:r>
    </w:p>
    <w:p w14:paraId="7232EC01" w14:textId="77777777" w:rsidR="0052014A" w:rsidRPr="00F44975" w:rsidRDefault="0052014A" w:rsidP="0052014A">
      <w:pPr>
        <w:pStyle w:val="Akapitzlist"/>
        <w:spacing w:line="276" w:lineRule="auto"/>
        <w:ind w:left="2124"/>
        <w:jc w:val="both"/>
        <w:rPr>
          <w:rFonts w:ascii="Arial" w:hAnsi="Arial"/>
          <w:sz w:val="22"/>
          <w:szCs w:val="22"/>
        </w:rPr>
      </w:pPr>
      <w:r>
        <w:rPr>
          <w:rFonts w:ascii="Arial" w:hAnsi="Arial"/>
          <w:sz w:val="22"/>
          <w:szCs w:val="22"/>
        </w:rPr>
        <w:t>1 dzień roboczy – 20 pkt</w:t>
      </w:r>
    </w:p>
    <w:p w14:paraId="2694E424" w14:textId="77777777" w:rsidR="0052014A" w:rsidRDefault="0052014A" w:rsidP="0052014A">
      <w:pPr>
        <w:spacing w:line="276" w:lineRule="auto"/>
        <w:ind w:left="708"/>
        <w:jc w:val="both"/>
        <w:rPr>
          <w:rFonts w:ascii="Arial" w:eastAsia="Times New Roman" w:hAnsi="Arial"/>
          <w:sz w:val="22"/>
          <w:szCs w:val="22"/>
        </w:rPr>
      </w:pPr>
    </w:p>
    <w:p w14:paraId="5663C1EE" w14:textId="77777777" w:rsidR="00FF7CD6" w:rsidRDefault="00FF7CD6" w:rsidP="0052014A">
      <w:pPr>
        <w:spacing w:line="276" w:lineRule="auto"/>
        <w:ind w:left="708"/>
        <w:jc w:val="both"/>
        <w:rPr>
          <w:rFonts w:ascii="Arial" w:eastAsia="Times New Roman" w:hAnsi="Arial"/>
          <w:sz w:val="22"/>
          <w:szCs w:val="22"/>
        </w:rPr>
      </w:pPr>
    </w:p>
    <w:p w14:paraId="390103A2" w14:textId="77777777" w:rsidR="0052014A" w:rsidRPr="00F44975" w:rsidRDefault="0052014A" w:rsidP="0052014A">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76F52D6C" w14:textId="77777777" w:rsidR="0052014A" w:rsidRPr="00F44975" w:rsidRDefault="0052014A" w:rsidP="0052014A">
      <w:pPr>
        <w:spacing w:line="276" w:lineRule="auto"/>
        <w:ind w:left="708"/>
        <w:jc w:val="both"/>
        <w:rPr>
          <w:rFonts w:ascii="Arial" w:eastAsia="Times New Roman" w:hAnsi="Arial"/>
          <w:sz w:val="22"/>
          <w:szCs w:val="22"/>
        </w:rPr>
      </w:pPr>
      <w:r w:rsidRPr="00F44975">
        <w:rPr>
          <w:rFonts w:ascii="Arial" w:eastAsia="Times New Roman" w:hAnsi="Arial"/>
          <w:sz w:val="22"/>
          <w:szCs w:val="22"/>
        </w:rPr>
        <w:t xml:space="preserve">W przypadku, gdy Wykonawca nie wskaże powyższego w Formularzu ofertowym Zamawiający przyjmie, iż zaoferowano maksymalny dopuszczony termin wymiany, a co za tym idzie Wykonawca </w:t>
      </w:r>
      <w:r w:rsidRPr="00F44975">
        <w:rPr>
          <w:rFonts w:ascii="Arial" w:eastAsia="Times New Roman" w:hAnsi="Arial"/>
          <w:sz w:val="22"/>
          <w:szCs w:val="22"/>
        </w:rPr>
        <w:lastRenderedPageBreak/>
        <w:t>otrzyma 0 pkt.</w:t>
      </w:r>
    </w:p>
    <w:p w14:paraId="6A533030" w14:textId="77777777" w:rsidR="00F01C1C" w:rsidRPr="001D207A" w:rsidRDefault="00F01C1C" w:rsidP="00534612">
      <w:pPr>
        <w:widowControl/>
        <w:numPr>
          <w:ilvl w:val="0"/>
          <w:numId w:val="36"/>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lastRenderedPageBreak/>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028962BA"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52014A">
        <w:rPr>
          <w:rFonts w:ascii="Arial" w:hAnsi="Arial"/>
          <w:sz w:val="22"/>
          <w:szCs w:val="22"/>
        </w:rPr>
        <w:t>Patryk Bednarek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lastRenderedPageBreak/>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6DE429D" w:rsidR="00251530" w:rsidRPr="000E2D87"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0E2D87">
        <w:rPr>
          <w:rFonts w:ascii="Arial" w:eastAsia="Times New Roman" w:hAnsi="Arial"/>
          <w:b/>
          <w:bCs/>
          <w:sz w:val="22"/>
          <w:szCs w:val="22"/>
          <w:lang w:bidi="ar-SA"/>
        </w:rPr>
        <w:t>,</w:t>
      </w:r>
    </w:p>
    <w:p w14:paraId="7A2B4F27" w14:textId="0C348BDA" w:rsidR="000E2D87" w:rsidRPr="001D207A" w:rsidRDefault="000E2D87"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0E2D87">
        <w:rPr>
          <w:rFonts w:ascii="Arial" w:eastAsia="Times New Roman" w:hAnsi="Arial"/>
          <w:sz w:val="22"/>
          <w:szCs w:val="22"/>
          <w:lang w:bidi="ar-SA"/>
        </w:rPr>
        <w:t>Protokół odbioru</w:t>
      </w:r>
      <w:r>
        <w:rPr>
          <w:rFonts w:ascii="Arial" w:eastAsia="Times New Roman" w:hAnsi="Arial"/>
          <w:b/>
          <w:bCs/>
          <w:sz w:val="22"/>
          <w:szCs w:val="22"/>
          <w:lang w:bidi="ar-SA"/>
        </w:rPr>
        <w:t xml:space="preserve"> – załącznik nr 8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pPr>
        <w:rPr>
          <w:rFonts w:hint="eastAsia"/>
        </w:rPr>
      </w:pPr>
      <w:r>
        <w:separator/>
      </w:r>
    </w:p>
  </w:endnote>
  <w:endnote w:type="continuationSeparator" w:id="0">
    <w:p w14:paraId="5B41A4DC" w14:textId="77777777" w:rsidR="007250FC" w:rsidRDefault="007F4C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pPr>
        <w:rPr>
          <w:rFonts w:hint="eastAsia"/>
        </w:rPr>
      </w:pPr>
      <w:r>
        <w:separator/>
      </w:r>
    </w:p>
  </w:footnote>
  <w:footnote w:type="continuationSeparator" w:id="0">
    <w:p w14:paraId="2DC80D02" w14:textId="77777777" w:rsidR="007250FC" w:rsidRDefault="007F4C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3"/>
  </w:num>
  <w:num w:numId="3" w16cid:durableId="421487604">
    <w:abstractNumId w:val="37"/>
  </w:num>
  <w:num w:numId="4" w16cid:durableId="1864198505">
    <w:abstractNumId w:val="34"/>
  </w:num>
  <w:num w:numId="5" w16cid:durableId="827746998">
    <w:abstractNumId w:val="0"/>
  </w:num>
  <w:num w:numId="6" w16cid:durableId="1833137963">
    <w:abstractNumId w:val="35"/>
  </w:num>
  <w:num w:numId="7" w16cid:durableId="2017657826">
    <w:abstractNumId w:val="25"/>
  </w:num>
  <w:num w:numId="8" w16cid:durableId="600836964">
    <w:abstractNumId w:val="18"/>
  </w:num>
  <w:num w:numId="9" w16cid:durableId="1500001088">
    <w:abstractNumId w:val="19"/>
  </w:num>
  <w:num w:numId="10" w16cid:durableId="1450852925">
    <w:abstractNumId w:val="4"/>
  </w:num>
  <w:num w:numId="11" w16cid:durableId="1979795552">
    <w:abstractNumId w:val="8"/>
  </w:num>
  <w:num w:numId="12" w16cid:durableId="1647007609">
    <w:abstractNumId w:val="33"/>
  </w:num>
  <w:num w:numId="13" w16cid:durableId="1843158933">
    <w:abstractNumId w:val="30"/>
  </w:num>
  <w:num w:numId="14" w16cid:durableId="253243510">
    <w:abstractNumId w:val="20"/>
  </w:num>
  <w:num w:numId="15" w16cid:durableId="1459294443">
    <w:abstractNumId w:val="3"/>
  </w:num>
  <w:num w:numId="16" w16cid:durableId="1763642329">
    <w:abstractNumId w:val="24"/>
  </w:num>
  <w:num w:numId="17" w16cid:durableId="1511799945">
    <w:abstractNumId w:val="15"/>
  </w:num>
  <w:num w:numId="18" w16cid:durableId="2056732218">
    <w:abstractNumId w:val="26"/>
  </w:num>
  <w:num w:numId="19" w16cid:durableId="1510098302">
    <w:abstractNumId w:val="10"/>
  </w:num>
  <w:num w:numId="20" w16cid:durableId="158623089">
    <w:abstractNumId w:val="11"/>
  </w:num>
  <w:num w:numId="21" w16cid:durableId="1356420107">
    <w:abstractNumId w:val="32"/>
  </w:num>
  <w:num w:numId="22" w16cid:durableId="326205369">
    <w:abstractNumId w:val="14"/>
  </w:num>
  <w:num w:numId="23" w16cid:durableId="1898084469">
    <w:abstractNumId w:val="16"/>
  </w:num>
  <w:num w:numId="24" w16cid:durableId="2049179690">
    <w:abstractNumId w:val="1"/>
  </w:num>
  <w:num w:numId="25" w16cid:durableId="169300784">
    <w:abstractNumId w:val="5"/>
  </w:num>
  <w:num w:numId="26" w16cid:durableId="1603490912">
    <w:abstractNumId w:val="7"/>
  </w:num>
  <w:num w:numId="27" w16cid:durableId="2067754062">
    <w:abstractNumId w:val="22"/>
  </w:num>
  <w:num w:numId="28" w16cid:durableId="1864440342">
    <w:abstractNumId w:val="9"/>
  </w:num>
  <w:num w:numId="29" w16cid:durableId="941958705">
    <w:abstractNumId w:val="17"/>
  </w:num>
  <w:num w:numId="30" w16cid:durableId="1102990936">
    <w:abstractNumId w:val="31"/>
  </w:num>
  <w:num w:numId="31" w16cid:durableId="1963490612">
    <w:abstractNumId w:val="28"/>
  </w:num>
  <w:num w:numId="32" w16cid:durableId="558588852">
    <w:abstractNumId w:val="27"/>
  </w:num>
  <w:num w:numId="33" w16cid:durableId="1016226828">
    <w:abstractNumId w:val="29"/>
  </w:num>
  <w:num w:numId="34" w16cid:durableId="1911041915">
    <w:abstractNumId w:val="21"/>
  </w:num>
  <w:num w:numId="35" w16cid:durableId="377434317">
    <w:abstractNumId w:val="13"/>
  </w:num>
  <w:num w:numId="36" w16cid:durableId="13979004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6"/>
  </w:num>
  <w:num w:numId="38" w16cid:durableId="84024381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D87"/>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47D30"/>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46F2"/>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D67"/>
    <w:rsid w:val="004B22B6"/>
    <w:rsid w:val="004B23FD"/>
    <w:rsid w:val="004B2F1C"/>
    <w:rsid w:val="004B456A"/>
    <w:rsid w:val="004B6DB9"/>
    <w:rsid w:val="004C1E74"/>
    <w:rsid w:val="004D1351"/>
    <w:rsid w:val="004D5D4E"/>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14A"/>
    <w:rsid w:val="00520415"/>
    <w:rsid w:val="00520464"/>
    <w:rsid w:val="00524199"/>
    <w:rsid w:val="00527480"/>
    <w:rsid w:val="00534612"/>
    <w:rsid w:val="00535E3D"/>
    <w:rsid w:val="005410BC"/>
    <w:rsid w:val="0054183C"/>
    <w:rsid w:val="0054519B"/>
    <w:rsid w:val="00546739"/>
    <w:rsid w:val="00547CC6"/>
    <w:rsid w:val="005521B8"/>
    <w:rsid w:val="00553581"/>
    <w:rsid w:val="00555A02"/>
    <w:rsid w:val="00562B23"/>
    <w:rsid w:val="0056401F"/>
    <w:rsid w:val="00567134"/>
    <w:rsid w:val="005809C4"/>
    <w:rsid w:val="00580ACF"/>
    <w:rsid w:val="00582DB8"/>
    <w:rsid w:val="00583979"/>
    <w:rsid w:val="00586C0F"/>
    <w:rsid w:val="00587237"/>
    <w:rsid w:val="005878FC"/>
    <w:rsid w:val="00591551"/>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28D7"/>
    <w:rsid w:val="00602A91"/>
    <w:rsid w:val="00602D83"/>
    <w:rsid w:val="00606A5B"/>
    <w:rsid w:val="0061046D"/>
    <w:rsid w:val="00610B79"/>
    <w:rsid w:val="0061201F"/>
    <w:rsid w:val="00613DAE"/>
    <w:rsid w:val="0061526A"/>
    <w:rsid w:val="006208DC"/>
    <w:rsid w:val="006252B4"/>
    <w:rsid w:val="006307A9"/>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172"/>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0971"/>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535C"/>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00C6"/>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15A8B"/>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657F8"/>
    <w:rsid w:val="00E77764"/>
    <w:rsid w:val="00E812FD"/>
    <w:rsid w:val="00E86597"/>
    <w:rsid w:val="00E86704"/>
    <w:rsid w:val="00E93E46"/>
    <w:rsid w:val="00E9481F"/>
    <w:rsid w:val="00E9482C"/>
    <w:rsid w:val="00E966B7"/>
    <w:rsid w:val="00EA0C06"/>
    <w:rsid w:val="00EA3105"/>
    <w:rsid w:val="00EA72FD"/>
    <w:rsid w:val="00EB1C2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77356"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transakcja/977356%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7735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8057</Words>
  <Characters>48346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29</cp:revision>
  <cp:lastPrinted>2024-09-10T10:29:00Z</cp:lastPrinted>
  <dcterms:created xsi:type="dcterms:W3CDTF">2022-10-13T07:33:00Z</dcterms:created>
  <dcterms:modified xsi:type="dcterms:W3CDTF">2024-09-10T10:31:00Z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